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355ADA6B" w14:textId="6C1AEC6D" w:rsidR="00EB1A56" w:rsidRDefault="00F76A9B" w:rsidP="003C42A8">
      <w:pPr>
        <w:jc w:val="center"/>
        <w:rPr>
          <w:rFonts w:ascii="Arial" w:hAnsi="Arial" w:cs="Arial"/>
          <w:b/>
          <w:sz w:val="72"/>
          <w:szCs w:val="72"/>
        </w:rPr>
      </w:pPr>
      <w:r>
        <w:rPr>
          <w:rFonts w:ascii="Arial" w:hAnsi="Arial" w:cs="Arial"/>
          <w:b/>
          <w:sz w:val="72"/>
          <w:szCs w:val="72"/>
        </w:rPr>
        <w:t xml:space="preserve">SUPPLEMENTAL EAC </w:t>
      </w:r>
      <w:r w:rsidR="003467E3">
        <w:rPr>
          <w:rFonts w:ascii="Arial" w:hAnsi="Arial" w:cs="Arial"/>
          <w:b/>
          <w:sz w:val="72"/>
          <w:szCs w:val="72"/>
        </w:rPr>
        <w:t xml:space="preserve">TEMPLATE FOR </w:t>
      </w:r>
      <w:r w:rsidR="00F37F2B">
        <w:rPr>
          <w:rFonts w:ascii="Arial" w:hAnsi="Arial" w:cs="Arial"/>
          <w:b/>
          <w:sz w:val="72"/>
          <w:szCs w:val="72"/>
        </w:rPr>
        <w:t xml:space="preserve">PILOT CRITERIA </w:t>
      </w:r>
      <w:r w:rsidR="003467E3">
        <w:rPr>
          <w:rFonts w:ascii="Arial" w:hAnsi="Arial" w:cs="Arial"/>
          <w:b/>
          <w:sz w:val="72"/>
          <w:szCs w:val="72"/>
        </w:rPr>
        <w:t xml:space="preserve">SELF STUDY </w:t>
      </w:r>
      <w:r w:rsidR="00125479">
        <w:rPr>
          <w:rFonts w:ascii="Arial" w:hAnsi="Arial" w:cs="Arial"/>
          <w:b/>
          <w:sz w:val="72"/>
          <w:szCs w:val="72"/>
        </w:rPr>
        <w:t>REPORT</w:t>
      </w:r>
    </w:p>
    <w:p w14:paraId="20F5C677" w14:textId="77777777" w:rsidR="000C6B13" w:rsidRDefault="000C6B13" w:rsidP="003C42A8">
      <w:pPr>
        <w:jc w:val="center"/>
        <w:rPr>
          <w:rFonts w:ascii="Arial" w:hAnsi="Arial" w:cs="Arial"/>
          <w:b/>
          <w:sz w:val="72"/>
          <w:szCs w:val="72"/>
        </w:rPr>
      </w:pPr>
    </w:p>
    <w:p w14:paraId="2C76976B" w14:textId="4FBB9415" w:rsidR="00D0465F" w:rsidRDefault="007A7771" w:rsidP="00F37F2B">
      <w:pPr>
        <w:rPr>
          <w:rFonts w:ascii="Arial" w:hAnsi="Arial" w:cs="Arial"/>
          <w:b/>
          <w:sz w:val="40"/>
          <w:szCs w:val="40"/>
        </w:rPr>
      </w:pPr>
      <w:r>
        <w:rPr>
          <w:rFonts w:ascii="Arial" w:hAnsi="Arial" w:cs="Arial"/>
          <w:b/>
          <w:sz w:val="40"/>
          <w:szCs w:val="40"/>
        </w:rPr>
        <w:t>P</w:t>
      </w:r>
      <w:r w:rsidR="006E65FC">
        <w:rPr>
          <w:rFonts w:ascii="Arial" w:hAnsi="Arial" w:cs="Arial"/>
          <w:b/>
          <w:sz w:val="40"/>
          <w:szCs w:val="40"/>
        </w:rPr>
        <w:t>rinciples</w:t>
      </w:r>
      <w:r>
        <w:rPr>
          <w:rFonts w:ascii="Arial" w:hAnsi="Arial" w:cs="Arial"/>
          <w:b/>
          <w:sz w:val="40"/>
          <w:szCs w:val="40"/>
        </w:rPr>
        <w:t xml:space="preserve"> </w:t>
      </w:r>
      <w:r w:rsidR="006E65FC">
        <w:rPr>
          <w:rFonts w:ascii="Arial" w:hAnsi="Arial" w:cs="Arial"/>
          <w:b/>
          <w:sz w:val="40"/>
          <w:szCs w:val="40"/>
        </w:rPr>
        <w:t>of</w:t>
      </w:r>
      <w:r>
        <w:rPr>
          <w:rFonts w:ascii="Arial" w:hAnsi="Arial" w:cs="Arial"/>
          <w:b/>
          <w:sz w:val="40"/>
          <w:szCs w:val="40"/>
        </w:rPr>
        <w:t xml:space="preserve"> Diversity, </w:t>
      </w:r>
      <w:r w:rsidR="006E65FC">
        <w:rPr>
          <w:rFonts w:ascii="Arial" w:hAnsi="Arial" w:cs="Arial"/>
          <w:b/>
          <w:sz w:val="40"/>
          <w:szCs w:val="40"/>
        </w:rPr>
        <w:t>Equity,</w:t>
      </w:r>
      <w:r>
        <w:rPr>
          <w:rFonts w:ascii="Arial" w:hAnsi="Arial" w:cs="Arial"/>
          <w:b/>
          <w:sz w:val="40"/>
          <w:szCs w:val="40"/>
        </w:rPr>
        <w:t xml:space="preserve"> and I</w:t>
      </w:r>
      <w:r w:rsidR="006E65FC">
        <w:rPr>
          <w:rFonts w:ascii="Arial" w:hAnsi="Arial" w:cs="Arial"/>
          <w:b/>
          <w:sz w:val="40"/>
          <w:szCs w:val="40"/>
        </w:rPr>
        <w:t>n</w:t>
      </w:r>
      <w:r>
        <w:rPr>
          <w:rFonts w:ascii="Arial" w:hAnsi="Arial" w:cs="Arial"/>
          <w:b/>
          <w:sz w:val="40"/>
          <w:szCs w:val="40"/>
        </w:rPr>
        <w:t>clusion</w:t>
      </w:r>
    </w:p>
    <w:p w14:paraId="272113BF" w14:textId="77777777" w:rsidR="006E65FC" w:rsidRPr="007A7771" w:rsidRDefault="006E65FC" w:rsidP="00F37F2B">
      <w:pPr>
        <w:rPr>
          <w:rFonts w:ascii="Arial" w:hAnsi="Arial" w:cs="Arial"/>
          <w:b/>
          <w:sz w:val="40"/>
          <w:szCs w:val="40"/>
        </w:rPr>
      </w:pPr>
    </w:p>
    <w:p w14:paraId="7979F8AF" w14:textId="5F55EA34" w:rsidR="003C66F2" w:rsidRPr="00376129" w:rsidRDefault="00811017" w:rsidP="003C66F2">
      <w:pPr>
        <w:rPr>
          <w:rFonts w:ascii="Arial" w:hAnsi="Arial" w:cs="Arial"/>
          <w:sz w:val="36"/>
          <w:szCs w:val="36"/>
        </w:rPr>
      </w:pPr>
      <w:r w:rsidRPr="00376129">
        <w:rPr>
          <w:rFonts w:ascii="Arial" w:hAnsi="Arial" w:cs="Arial"/>
          <w:sz w:val="36"/>
          <w:szCs w:val="36"/>
        </w:rPr>
        <w:t>20</w:t>
      </w:r>
      <w:r w:rsidR="00827E12">
        <w:rPr>
          <w:rFonts w:ascii="Arial" w:hAnsi="Arial" w:cs="Arial"/>
          <w:sz w:val="36"/>
          <w:szCs w:val="36"/>
        </w:rPr>
        <w:t>2</w:t>
      </w:r>
      <w:r w:rsidR="009E149E">
        <w:rPr>
          <w:rFonts w:ascii="Arial" w:hAnsi="Arial" w:cs="Arial"/>
          <w:sz w:val="36"/>
          <w:szCs w:val="36"/>
        </w:rPr>
        <w:t>4</w:t>
      </w:r>
      <w:r w:rsidR="00F130ED" w:rsidRPr="00376129">
        <w:rPr>
          <w:rFonts w:ascii="Arial" w:hAnsi="Arial" w:cs="Arial"/>
          <w:sz w:val="36"/>
          <w:szCs w:val="36"/>
        </w:rPr>
        <w:t>-</w:t>
      </w:r>
      <w:r>
        <w:rPr>
          <w:rFonts w:ascii="Arial" w:hAnsi="Arial" w:cs="Arial"/>
          <w:sz w:val="36"/>
          <w:szCs w:val="36"/>
        </w:rPr>
        <w:t>2</w:t>
      </w:r>
      <w:r w:rsidR="009E149E">
        <w:rPr>
          <w:rFonts w:ascii="Arial" w:hAnsi="Arial" w:cs="Arial"/>
          <w:sz w:val="36"/>
          <w:szCs w:val="36"/>
        </w:rPr>
        <w:t>5</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04390B" w:rsidRDefault="003C66F2" w:rsidP="003C66F2">
      <w:pPr>
        <w:rPr>
          <w:rFonts w:ascii="Arial" w:hAnsi="Arial" w:cs="Arial"/>
          <w:lang w:val="fr-FR"/>
        </w:rPr>
      </w:pPr>
      <w:proofErr w:type="gramStart"/>
      <w:r w:rsidRPr="0004390B">
        <w:rPr>
          <w:rFonts w:ascii="Arial" w:hAnsi="Arial" w:cs="Arial"/>
          <w:lang w:val="fr-FR"/>
        </w:rPr>
        <w:t>Phone:</w:t>
      </w:r>
      <w:proofErr w:type="gramEnd"/>
      <w:r w:rsidRPr="0004390B">
        <w:rPr>
          <w:rFonts w:ascii="Arial" w:hAnsi="Arial" w:cs="Arial"/>
          <w:lang w:val="fr-FR"/>
        </w:rPr>
        <w:t xml:space="preserve"> 410-347-7</w:t>
      </w:r>
      <w:r w:rsidR="006944FA" w:rsidRPr="0004390B">
        <w:rPr>
          <w:rFonts w:ascii="Arial" w:hAnsi="Arial" w:cs="Arial"/>
          <w:lang w:val="fr-FR"/>
        </w:rPr>
        <w:t>7</w:t>
      </w:r>
      <w:r w:rsidRPr="0004390B">
        <w:rPr>
          <w:rFonts w:ascii="Arial" w:hAnsi="Arial" w:cs="Arial"/>
          <w:lang w:val="fr-FR"/>
        </w:rPr>
        <w:t>00</w:t>
      </w:r>
    </w:p>
    <w:p w14:paraId="17BDF3FD" w14:textId="24CB4DBB" w:rsidR="003C66F2" w:rsidRPr="0004390B" w:rsidRDefault="00811017" w:rsidP="003C66F2">
      <w:pPr>
        <w:rPr>
          <w:rFonts w:ascii="Arial" w:hAnsi="Arial" w:cs="Arial"/>
          <w:lang w:val="fr-FR"/>
        </w:rPr>
      </w:pPr>
      <w:proofErr w:type="gramStart"/>
      <w:r w:rsidRPr="0004390B">
        <w:rPr>
          <w:rFonts w:ascii="Arial" w:hAnsi="Arial" w:cs="Arial"/>
          <w:lang w:val="fr-FR"/>
        </w:rPr>
        <w:t>E-mail</w:t>
      </w:r>
      <w:r w:rsidR="003C66F2" w:rsidRPr="0004390B">
        <w:rPr>
          <w:rFonts w:ascii="Arial" w:hAnsi="Arial" w:cs="Arial"/>
          <w:lang w:val="fr-FR"/>
        </w:rPr>
        <w:t>:</w:t>
      </w:r>
      <w:proofErr w:type="gramEnd"/>
      <w:r w:rsidR="003C66F2" w:rsidRPr="0004390B">
        <w:rPr>
          <w:rFonts w:ascii="Arial" w:hAnsi="Arial" w:cs="Arial"/>
          <w:lang w:val="fr-FR"/>
        </w:rPr>
        <w:t xml:space="preserve"> </w:t>
      </w:r>
      <w:r w:rsidR="00E83BD1" w:rsidRPr="0004390B">
        <w:rPr>
          <w:rFonts w:ascii="Arial" w:hAnsi="Arial" w:cs="Arial"/>
          <w:lang w:val="fr-FR"/>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06418356"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032AF2">
          <w:rPr>
            <w:noProof/>
            <w:webHidden/>
          </w:rPr>
          <w:t>3</w:t>
        </w:r>
        <w:r w:rsidRPr="00B1464D">
          <w:rPr>
            <w:noProof/>
            <w:webHidden/>
          </w:rPr>
          <w:fldChar w:fldCharType="end"/>
        </w:r>
      </w:hyperlink>
    </w:p>
    <w:p w14:paraId="1EFE74ED" w14:textId="0B9F53F3" w:rsidR="00A26B68" w:rsidRPr="00B1464D" w:rsidRDefault="00000000">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032AF2">
          <w:rPr>
            <w:noProof/>
            <w:webHidden/>
          </w:rPr>
          <w:t>3</w:t>
        </w:r>
        <w:r w:rsidR="00897B09" w:rsidRPr="00B1464D">
          <w:rPr>
            <w:noProof/>
            <w:webHidden/>
          </w:rPr>
          <w:fldChar w:fldCharType="end"/>
        </w:r>
      </w:hyperlink>
    </w:p>
    <w:p w14:paraId="65965606" w14:textId="7332D758" w:rsidR="00A26B68" w:rsidRPr="00B1464D" w:rsidRDefault="00000000">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032AF2">
          <w:rPr>
            <w:noProof/>
            <w:webHidden/>
          </w:rPr>
          <w:t>3</w:t>
        </w:r>
        <w:r w:rsidR="00897B09" w:rsidRPr="00B1464D">
          <w:rPr>
            <w:noProof/>
            <w:webHidden/>
          </w:rPr>
          <w:fldChar w:fldCharType="end"/>
        </w:r>
      </w:hyperlink>
    </w:p>
    <w:p w14:paraId="536F0DFA" w14:textId="391DC299" w:rsidR="00A26B68" w:rsidRPr="00B1464D" w:rsidRDefault="00000000">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032AF2">
          <w:rPr>
            <w:noProof/>
            <w:webHidden/>
          </w:rPr>
          <w:t>4</w:t>
        </w:r>
        <w:r w:rsidR="00897B09" w:rsidRPr="00B1464D">
          <w:rPr>
            <w:noProof/>
            <w:webHidden/>
          </w:rPr>
          <w:fldChar w:fldCharType="end"/>
        </w:r>
      </w:hyperlink>
    </w:p>
    <w:p w14:paraId="66781BF1" w14:textId="5340E043" w:rsidR="00A26B68" w:rsidRPr="00B1464D" w:rsidRDefault="00000000">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032AF2">
          <w:rPr>
            <w:noProof/>
            <w:webHidden/>
          </w:rPr>
          <w:t>4</w:t>
        </w:r>
        <w:r w:rsidR="00897B09" w:rsidRPr="00B1464D">
          <w:rPr>
            <w:noProof/>
            <w:webHidden/>
          </w:rPr>
          <w:fldChar w:fldCharType="end"/>
        </w:r>
      </w:hyperlink>
    </w:p>
    <w:p w14:paraId="28D4CA83" w14:textId="3A5BB818" w:rsidR="00A26B68" w:rsidRPr="00B1464D" w:rsidRDefault="00000000" w:rsidP="00A26B68">
      <w:pPr>
        <w:pStyle w:val="TOC1"/>
        <w:tabs>
          <w:tab w:val="right" w:leader="dot" w:pos="8630"/>
        </w:tabs>
        <w:ind w:left="720"/>
        <w:rPr>
          <w:noProof/>
          <w:sz w:val="22"/>
          <w:szCs w:val="22"/>
        </w:rPr>
      </w:pPr>
      <w:hyperlink w:anchor="_Toc268163166" w:history="1">
        <w:r w:rsidR="00330DA2">
          <w:rPr>
            <w:rStyle w:val="Hyperlink"/>
            <w:noProof/>
            <w:color w:val="696867"/>
          </w:rPr>
          <w:t>DEFINITIONS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032AF2">
          <w:rPr>
            <w:noProof/>
            <w:webHidden/>
          </w:rPr>
          <w:t>6</w:t>
        </w:r>
        <w:r w:rsidR="00897B09" w:rsidRPr="00B1464D">
          <w:rPr>
            <w:noProof/>
            <w:webHidden/>
          </w:rPr>
          <w:fldChar w:fldCharType="end"/>
        </w:r>
      </w:hyperlink>
    </w:p>
    <w:p w14:paraId="0669D4E4" w14:textId="2E4B4B02" w:rsidR="00A26B68" w:rsidRPr="00B1464D" w:rsidRDefault="00000000" w:rsidP="00A26B68">
      <w:pPr>
        <w:pStyle w:val="TOC1"/>
        <w:tabs>
          <w:tab w:val="right" w:leader="dot" w:pos="8630"/>
        </w:tabs>
        <w:ind w:left="720"/>
        <w:rPr>
          <w:noProof/>
          <w:sz w:val="22"/>
          <w:szCs w:val="22"/>
        </w:rPr>
      </w:pPr>
      <w:hyperlink w:anchor="_Toc268163167" w:history="1">
        <w:r w:rsidR="00CA5C38">
          <w:rPr>
            <w:rStyle w:val="Hyperlink"/>
            <w:noProof/>
            <w:color w:val="696867"/>
          </w:rPr>
          <w:t>GENERAL</w:t>
        </w:r>
        <w:r w:rsidR="00A26B68" w:rsidRPr="00B1464D">
          <w:rPr>
            <w:rStyle w:val="Hyperlink"/>
            <w:noProof/>
            <w:color w:val="696867"/>
          </w:rPr>
          <w:t xml:space="preserve">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032AF2">
          <w:rPr>
            <w:noProof/>
            <w:webHidden/>
          </w:rPr>
          <w:t>6</w:t>
        </w:r>
        <w:r w:rsidR="00897B09" w:rsidRPr="00B1464D">
          <w:rPr>
            <w:noProof/>
            <w:webHidden/>
          </w:rPr>
          <w:fldChar w:fldCharType="end"/>
        </w:r>
      </w:hyperlink>
    </w:p>
    <w:p w14:paraId="3D34F082" w14:textId="4366E740" w:rsidR="00A26B68" w:rsidRPr="00B1464D" w:rsidRDefault="00000000"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032AF2">
          <w:rPr>
            <w:noProof/>
            <w:webHidden/>
          </w:rPr>
          <w:t>7</w:t>
        </w:r>
        <w:r w:rsidR="00897B09" w:rsidRPr="00B1464D">
          <w:rPr>
            <w:noProof/>
            <w:webHidden/>
          </w:rPr>
          <w:fldChar w:fldCharType="end"/>
        </w:r>
      </w:hyperlink>
    </w:p>
    <w:p w14:paraId="32FB7661" w14:textId="0322FDBD" w:rsidR="00A26B68" w:rsidRPr="00B1464D" w:rsidRDefault="00000000"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032AF2">
          <w:rPr>
            <w:noProof/>
            <w:webHidden/>
          </w:rPr>
          <w:t>8</w:t>
        </w:r>
        <w:r w:rsidR="00897B09" w:rsidRPr="00B1464D">
          <w:rPr>
            <w:noProof/>
            <w:webHidden/>
          </w:rPr>
          <w:fldChar w:fldCharType="end"/>
        </w:r>
      </w:hyperlink>
    </w:p>
    <w:p w14:paraId="76C2C93D" w14:textId="74E5CA09" w:rsidR="00A26B68" w:rsidRPr="00B1464D" w:rsidRDefault="00A26B68" w:rsidP="00A26B68">
      <w:pPr>
        <w:pStyle w:val="TOC1"/>
        <w:tabs>
          <w:tab w:val="right" w:leader="dot" w:pos="8630"/>
        </w:tabs>
        <w:ind w:left="720"/>
        <w:rPr>
          <w:noProof/>
          <w:sz w:val="22"/>
          <w:szCs w:val="22"/>
        </w:rPr>
      </w:pPr>
    </w:p>
    <w:p w14:paraId="29AF1EB9" w14:textId="2046CA90" w:rsidR="00A26B68" w:rsidRPr="00B1464D" w:rsidRDefault="00000000">
      <w:pPr>
        <w:pStyle w:val="TOC1"/>
        <w:tabs>
          <w:tab w:val="right" w:leader="dot" w:pos="8630"/>
        </w:tabs>
        <w:rPr>
          <w:noProof/>
          <w:sz w:val="22"/>
          <w:szCs w:val="22"/>
        </w:rPr>
      </w:pPr>
      <w:hyperlink w:anchor="_Toc268163190" w:history="1">
        <w:r w:rsidR="00911E13">
          <w:rPr>
            <w:rStyle w:val="Hyperlink"/>
            <w:noProof/>
            <w:color w:val="696867"/>
          </w:rPr>
          <w:t xml:space="preserve">Submission </w:t>
        </w:r>
        <w:r w:rsidR="00A26B68" w:rsidRPr="00B1464D">
          <w:rPr>
            <w:rStyle w:val="Hyperlink"/>
            <w:noProof/>
            <w:color w:val="696867"/>
          </w:rPr>
          <w:t>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032AF2">
          <w:rPr>
            <w:noProof/>
            <w:webHidden/>
          </w:rPr>
          <w:t>9</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911E13">
          <w:footerReference w:type="first" r:id="rId12"/>
          <w:pgSz w:w="12240" w:h="15840"/>
          <w:pgMar w:top="1440" w:right="1800" w:bottom="1440" w:left="1800" w:header="720" w:footer="720" w:gutter="0"/>
          <w:cols w:space="720"/>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6118B5A7" w14:textId="56E94FEE" w:rsidR="00EE0463" w:rsidRDefault="00EE0463" w:rsidP="00930D1C">
      <w:r w:rsidRPr="00EE0463">
        <w:t xml:space="preserve">In the 2022-23 accreditation cycle the Engineering Accreditation Commission (EAC) </w:t>
      </w:r>
      <w:r w:rsidR="0086158D">
        <w:t>approved</w:t>
      </w:r>
      <w:r w:rsidRPr="00EE0463">
        <w:t xml:space="preserve"> changes to Criterion 5 and Criterion 6. </w:t>
      </w:r>
      <w:r w:rsidR="0086158D">
        <w:t>Subsequently, t</w:t>
      </w:r>
      <w:r>
        <w:t>he Engineering Area Delegation (EAD)</w:t>
      </w:r>
      <w:r w:rsidRPr="00EE0463">
        <w:t xml:space="preserve"> </w:t>
      </w:r>
      <w:r>
        <w:t xml:space="preserve">approved the proposed changes for a two-year optional pilot study. </w:t>
      </w:r>
      <w:r w:rsidRPr="00EE0463">
        <w:t>These changes are in recognition of the importance of diversity, equity and inclusion in engineering practice and the preparation of students to succeed in and contribute to a diverse global workforce.</w:t>
      </w:r>
    </w:p>
    <w:p w14:paraId="7EFBCCE4" w14:textId="77777777" w:rsidR="00CA5C38" w:rsidRDefault="00CA5C38" w:rsidP="00930D1C"/>
    <w:p w14:paraId="0A2E586F" w14:textId="741B32C6" w:rsidR="00930D1C" w:rsidRDefault="00EE0463" w:rsidP="00930D1C">
      <w:r>
        <w:t xml:space="preserve">The first year of pilot study was in 2023-24 cycle. </w:t>
      </w:r>
      <w:r w:rsidR="00500754">
        <w:t xml:space="preserve">To further our understanding of how to </w:t>
      </w:r>
      <w:r w:rsidR="00D43838">
        <w:t xml:space="preserve">successfully </w:t>
      </w:r>
      <w:r w:rsidR="00500754">
        <w:t>incorporate these principles in the criteria</w:t>
      </w:r>
      <w:r w:rsidR="00A3794D">
        <w:t xml:space="preserve">, </w:t>
      </w:r>
      <w:r w:rsidR="0086158D">
        <w:t xml:space="preserve">once again, </w:t>
      </w:r>
      <w:r w:rsidR="00500754">
        <w:t>the EAC</w:t>
      </w:r>
      <w:r w:rsidR="00D06268">
        <w:t xml:space="preserve"> </w:t>
      </w:r>
      <w:r w:rsidR="00CD09BA">
        <w:t xml:space="preserve">is offering an optional </w:t>
      </w:r>
      <w:r w:rsidR="00FC14AB">
        <w:t xml:space="preserve">opportunity </w:t>
      </w:r>
      <w:r w:rsidR="006D1583">
        <w:t xml:space="preserve">to </w:t>
      </w:r>
      <w:r w:rsidR="00FC14AB">
        <w:t>all institutions with</w:t>
      </w:r>
      <w:r w:rsidR="00B70464">
        <w:t xml:space="preserve"> </w:t>
      </w:r>
      <w:r w:rsidR="00FC14AB">
        <w:t xml:space="preserve">programs </w:t>
      </w:r>
      <w:r w:rsidR="006D1583">
        <w:t xml:space="preserve">undergoing </w:t>
      </w:r>
      <w:r w:rsidR="009C5FA8">
        <w:t xml:space="preserve">general </w:t>
      </w:r>
      <w:r w:rsidR="006D1583">
        <w:t>accreditation reviews in 202</w:t>
      </w:r>
      <w:r w:rsidR="009E149E">
        <w:t>4</w:t>
      </w:r>
      <w:r w:rsidR="006D1583">
        <w:t>-2</w:t>
      </w:r>
      <w:r w:rsidR="009E149E">
        <w:t>5</w:t>
      </w:r>
      <w:r w:rsidR="006D1583">
        <w:t xml:space="preserve"> </w:t>
      </w:r>
      <w:r w:rsidR="00FC14AB">
        <w:t xml:space="preserve">to pilot these changes. </w:t>
      </w:r>
    </w:p>
    <w:p w14:paraId="604F8FCF" w14:textId="674CD6C2" w:rsidR="001D6E90" w:rsidRDefault="001D6E90" w:rsidP="00930D1C"/>
    <w:p w14:paraId="1D6E1D85" w14:textId="0DB041D4" w:rsidR="00496405" w:rsidRDefault="00496405" w:rsidP="00930D1C">
      <w:r>
        <w:t>A</w:t>
      </w:r>
      <w:r w:rsidR="009C5FA8">
        <w:t>ny program undergoing a general review is eligible</w:t>
      </w:r>
      <w:r w:rsidR="004566A2">
        <w:t xml:space="preserve"> whether</w:t>
      </w:r>
      <w:r w:rsidR="0086259E">
        <w:t xml:space="preserve"> that general review </w:t>
      </w:r>
      <w:r w:rsidR="0086371B">
        <w:t>i</w:t>
      </w:r>
      <w:r w:rsidR="0086259E">
        <w:t xml:space="preserve">s for initial accreditation or </w:t>
      </w:r>
      <w:r w:rsidR="00324853">
        <w:t>for</w:t>
      </w:r>
      <w:r w:rsidR="0086259E">
        <w:t xml:space="preserve"> </w:t>
      </w:r>
      <w:r w:rsidR="004566A2">
        <w:t xml:space="preserve">reaccreditation. Programs </w:t>
      </w:r>
      <w:r w:rsidR="00597D30">
        <w:t>undergoing</w:t>
      </w:r>
      <w:r w:rsidR="004566A2">
        <w:t xml:space="preserve"> Interim </w:t>
      </w:r>
      <w:r w:rsidR="000720FA">
        <w:t>V</w:t>
      </w:r>
      <w:r w:rsidR="0086371B">
        <w:t xml:space="preserve">isits </w:t>
      </w:r>
      <w:r w:rsidR="00597D30">
        <w:t xml:space="preserve">or submitting </w:t>
      </w:r>
      <w:r w:rsidR="0086371B">
        <w:t xml:space="preserve">Interim </w:t>
      </w:r>
      <w:r w:rsidR="004566A2">
        <w:t xml:space="preserve">Reports are not eligible. </w:t>
      </w:r>
      <w:r w:rsidR="009C5FA8">
        <w:t xml:space="preserve">The decision to participate is an institutional choice. If the institution chooses to </w:t>
      </w:r>
      <w:r w:rsidR="004566A2">
        <w:t>participate,</w:t>
      </w:r>
      <w:r w:rsidR="009C5FA8">
        <w:t xml:space="preserve"> then all programs </w:t>
      </w:r>
      <w:r w:rsidR="00324853">
        <w:t xml:space="preserve">at that institution </w:t>
      </w:r>
      <w:r w:rsidR="009C5FA8">
        <w:t xml:space="preserve">undergoing a </w:t>
      </w:r>
      <w:r w:rsidR="00F2201D">
        <w:t xml:space="preserve">general </w:t>
      </w:r>
      <w:r w:rsidR="009C5FA8">
        <w:t>review during the 202</w:t>
      </w:r>
      <w:r w:rsidR="009E149E">
        <w:t>4</w:t>
      </w:r>
      <w:r w:rsidR="009C5FA8">
        <w:t>-2</w:t>
      </w:r>
      <w:r w:rsidR="009E149E">
        <w:t>5</w:t>
      </w:r>
      <w:r w:rsidR="009C5FA8">
        <w:t xml:space="preserve"> cycle must participate. Pro</w:t>
      </w:r>
      <w:r>
        <w:t>gram</w:t>
      </w:r>
      <w:r w:rsidR="009C5FA8">
        <w:t>s</w:t>
      </w:r>
      <w:r>
        <w:t xml:space="preserve"> may withdraw from the pilot at any time. </w:t>
      </w:r>
    </w:p>
    <w:p w14:paraId="072FFA08" w14:textId="5697AB45" w:rsidR="004566A2" w:rsidRDefault="004566A2" w:rsidP="00930D1C"/>
    <w:p w14:paraId="13924FE9" w14:textId="568D5346" w:rsidR="004566A2" w:rsidRPr="00B1464D" w:rsidRDefault="004566A2" w:rsidP="00930D1C">
      <w:r>
        <w:t xml:space="preserve">As this is a voluntary pilot, any </w:t>
      </w:r>
      <w:r w:rsidR="003000A2">
        <w:t>observations</w:t>
      </w:r>
      <w:r>
        <w:t xml:space="preserve"> identified that are related to the proposed revised criteria will have no bearing on the final accreditation action. The other elements of Criterion 5 &amp; Criterion 6 will be evaluated as usual.</w:t>
      </w:r>
    </w:p>
    <w:p w14:paraId="2F0346C2" w14:textId="77777777" w:rsidR="00930D1C" w:rsidRPr="00B1464D" w:rsidRDefault="00930D1C" w:rsidP="003C66F2"/>
    <w:p w14:paraId="5BF7758B" w14:textId="58EC1B96" w:rsidR="00EF41AE" w:rsidRPr="00B1464D" w:rsidRDefault="00930D1C" w:rsidP="00A3794D">
      <w:r w:rsidRPr="00B1464D">
        <w:t xml:space="preserve">The </w:t>
      </w:r>
      <w:r w:rsidR="007A31E4">
        <w:t xml:space="preserve">following template is designed to allow you to provide </w:t>
      </w:r>
      <w:r w:rsidRPr="00B1464D">
        <w:t xml:space="preserve">information </w:t>
      </w:r>
      <w:r w:rsidR="007A31E4">
        <w:t xml:space="preserve">specifically regarding </w:t>
      </w:r>
      <w:r w:rsidR="00CE3756">
        <w:t xml:space="preserve">the proposed changes to Criterion 5 </w:t>
      </w:r>
      <w:r w:rsidR="006D1583">
        <w:t>and Criterion</w:t>
      </w:r>
      <w:r w:rsidR="00CE3756">
        <w:t xml:space="preserve"> 6. </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4FAC411D" w:rsidR="00491B6C" w:rsidRPr="00B1464D" w:rsidRDefault="00491B6C" w:rsidP="00491B6C">
      <w:r w:rsidRPr="00B1464D">
        <w:t xml:space="preserve">The program name </w:t>
      </w:r>
      <w:r w:rsidR="00930D1C" w:rsidRPr="00B1464D">
        <w:t xml:space="preserve">used on the </w:t>
      </w:r>
      <w:r w:rsidRPr="00B1464D">
        <w:t xml:space="preserve">cover of the </w:t>
      </w:r>
      <w:r w:rsidR="007F7E2A">
        <w:t>Su</w:t>
      </w:r>
      <w:r w:rsidR="00E7589A">
        <w:t>p</w:t>
      </w:r>
      <w:r w:rsidR="007F7E2A">
        <w:t xml:space="preserve">plemental </w:t>
      </w:r>
      <w:r w:rsidR="00E7589A">
        <w:t xml:space="preserve">EAC Pilot Template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4C24626B" w14:textId="77777777" w:rsidR="00464E4C" w:rsidRPr="00B1464D" w:rsidRDefault="00464E4C" w:rsidP="00491B6C"/>
    <w:p w14:paraId="2A859AE5" w14:textId="1B878F13" w:rsidR="000E5606" w:rsidRPr="00AF2DC5" w:rsidRDefault="000E5606" w:rsidP="00E55510">
      <w:pPr>
        <w:pStyle w:val="Heading1"/>
        <w:rPr>
          <w:rFonts w:cs="Arial"/>
        </w:rPr>
      </w:pPr>
      <w:bookmarkStart w:id="2" w:name="_Toc268163163"/>
      <w:r w:rsidRPr="00AF2DC5">
        <w:rPr>
          <w:rFonts w:cs="Arial"/>
        </w:rPr>
        <w:t>Submission and Distribution</w:t>
      </w:r>
      <w:r w:rsidR="00926F69" w:rsidRPr="00AF2DC5">
        <w:rPr>
          <w:rFonts w:cs="Arial"/>
        </w:rPr>
        <w:t xml:space="preserve"> of </w:t>
      </w:r>
      <w:r w:rsidR="00095896">
        <w:rPr>
          <w:rFonts w:cs="Arial"/>
        </w:rPr>
        <w:t>the Supplemental EAC Pilot</w:t>
      </w:r>
      <w:r w:rsidR="006D1583">
        <w:rPr>
          <w:rFonts w:cs="Arial"/>
        </w:rPr>
        <w:t xml:space="preserve"> </w:t>
      </w:r>
      <w:r w:rsidR="003467E3">
        <w:rPr>
          <w:rFonts w:cs="Arial"/>
        </w:rPr>
        <w:t xml:space="preserve">CRITERIA </w:t>
      </w:r>
      <w:r w:rsidR="00926F69" w:rsidRPr="00AF2DC5">
        <w:rPr>
          <w:rFonts w:cs="Arial"/>
        </w:rPr>
        <w:t>Self-Study Report</w:t>
      </w:r>
      <w:bookmarkEnd w:id="2"/>
    </w:p>
    <w:p w14:paraId="0E955958" w14:textId="788FA0F2" w:rsidR="00911E13" w:rsidRDefault="00911E13" w:rsidP="004B42D7">
      <w:pPr>
        <w:rPr>
          <w:b/>
          <w:color w:val="595959"/>
        </w:rPr>
      </w:pPr>
      <w:r w:rsidRPr="00730492">
        <w:rPr>
          <w:b/>
          <w:color w:val="595959"/>
        </w:rPr>
        <w:t xml:space="preserve">NOTE: </w:t>
      </w:r>
      <w:r w:rsidR="004B42D7">
        <w:rPr>
          <w:b/>
          <w:color w:val="595959"/>
        </w:rPr>
        <w:t xml:space="preserve"> </w:t>
      </w:r>
      <w:r w:rsidRPr="00730492">
        <w:rPr>
          <w:b/>
          <w:color w:val="595959"/>
        </w:rPr>
        <w:t xml:space="preserve">No email submission is permitted. No hard copy </w:t>
      </w:r>
      <w:r w:rsidR="00946B2D">
        <w:rPr>
          <w:b/>
          <w:color w:val="595959"/>
        </w:rPr>
        <w:t>submission</w:t>
      </w:r>
      <w:r w:rsidRPr="00730492">
        <w:rPr>
          <w:b/>
          <w:color w:val="595959"/>
        </w:rPr>
        <w:t xml:space="preserve"> will be accepted. No submission on a data stick is permitted.</w:t>
      </w:r>
      <w:r w:rsidR="004B42D7">
        <w:rPr>
          <w:b/>
          <w:color w:val="595959"/>
        </w:rPr>
        <w:t xml:space="preserve"> </w:t>
      </w:r>
      <w:r w:rsidRPr="00730492">
        <w:rPr>
          <w:b/>
          <w:color w:val="595959"/>
        </w:rPr>
        <w:t xml:space="preserve">The submission cannot be a combination of hard copy and electronic file.  </w:t>
      </w:r>
    </w:p>
    <w:p w14:paraId="2DABFAE7" w14:textId="77777777" w:rsidR="00911E13" w:rsidRPr="00730492" w:rsidRDefault="00911E13" w:rsidP="004B42D7">
      <w:pPr>
        <w:rPr>
          <w:b/>
          <w:color w:val="595959"/>
        </w:rPr>
      </w:pPr>
    </w:p>
    <w:p w14:paraId="362A5EF2" w14:textId="208C12BA" w:rsidR="00095896" w:rsidRPr="000E36E1" w:rsidRDefault="00095896" w:rsidP="004B42D7">
      <w:pPr>
        <w:rPr>
          <w:b/>
          <w:bCs/>
          <w:color w:val="595959"/>
        </w:rPr>
      </w:pPr>
    </w:p>
    <w:p w14:paraId="09666FA9" w14:textId="08FD01B7" w:rsidR="00911E13" w:rsidRPr="003000A2" w:rsidRDefault="00095896" w:rsidP="004B42D7">
      <w:pPr>
        <w:rPr>
          <w:b/>
          <w:bCs/>
        </w:rPr>
      </w:pPr>
      <w:r w:rsidRPr="003000A2">
        <w:rPr>
          <w:b/>
          <w:bCs/>
        </w:rPr>
        <w:t xml:space="preserve">The </w:t>
      </w:r>
      <w:r w:rsidR="00911E13" w:rsidRPr="003000A2">
        <w:rPr>
          <w:b/>
          <w:bCs/>
        </w:rPr>
        <w:t xml:space="preserve">Supplemental </w:t>
      </w:r>
      <w:r w:rsidR="00496405" w:rsidRPr="003000A2">
        <w:rPr>
          <w:b/>
          <w:bCs/>
        </w:rPr>
        <w:t xml:space="preserve">EAC Pilot </w:t>
      </w:r>
      <w:r w:rsidR="00C52FDD" w:rsidRPr="003000A2">
        <w:rPr>
          <w:b/>
          <w:bCs/>
        </w:rPr>
        <w:t>R</w:t>
      </w:r>
      <w:r w:rsidR="00496405" w:rsidRPr="003000A2">
        <w:rPr>
          <w:b/>
          <w:bCs/>
        </w:rPr>
        <w:t xml:space="preserve">eport </w:t>
      </w:r>
      <w:r w:rsidR="00911E13" w:rsidRPr="003000A2">
        <w:rPr>
          <w:b/>
          <w:bCs/>
        </w:rPr>
        <w:t xml:space="preserve">should be uploaded as </w:t>
      </w:r>
      <w:r w:rsidR="00496405" w:rsidRPr="003000A2">
        <w:rPr>
          <w:b/>
          <w:bCs/>
        </w:rPr>
        <w:t xml:space="preserve">a </w:t>
      </w:r>
      <w:r w:rsidR="00581851" w:rsidRPr="003000A2">
        <w:rPr>
          <w:b/>
          <w:bCs/>
        </w:rPr>
        <w:t xml:space="preserve">separate </w:t>
      </w:r>
      <w:r w:rsidR="00911E13" w:rsidRPr="003000A2">
        <w:rPr>
          <w:b/>
          <w:bCs/>
        </w:rPr>
        <w:t>pdf</w:t>
      </w:r>
      <w:r w:rsidR="000E36E1" w:rsidRPr="003000A2">
        <w:rPr>
          <w:b/>
          <w:bCs/>
        </w:rPr>
        <w:t xml:space="preserve"> </w:t>
      </w:r>
      <w:r w:rsidR="00911E13" w:rsidRPr="003000A2">
        <w:rPr>
          <w:b/>
          <w:bCs/>
        </w:rPr>
        <w:t xml:space="preserve">file on your institution’s </w:t>
      </w:r>
      <w:r w:rsidR="002B6730" w:rsidRPr="003000A2">
        <w:rPr>
          <w:b/>
          <w:bCs/>
        </w:rPr>
        <w:t xml:space="preserve">page in the ABET </w:t>
      </w:r>
      <w:r w:rsidR="006D1583" w:rsidRPr="003000A2">
        <w:rPr>
          <w:b/>
          <w:bCs/>
        </w:rPr>
        <w:t xml:space="preserve">Accreditation </w:t>
      </w:r>
      <w:r w:rsidR="002B6730" w:rsidRPr="003000A2">
        <w:rPr>
          <w:b/>
          <w:bCs/>
        </w:rPr>
        <w:t xml:space="preserve">Management System. </w:t>
      </w:r>
      <w:bookmarkStart w:id="3" w:name="_Hlk114562454"/>
      <w:r w:rsidR="009610EC" w:rsidRPr="003000A2">
        <w:rPr>
          <w:b/>
          <w:bCs/>
        </w:rPr>
        <w:t>The deadline for uploading this material is July 1</w:t>
      </w:r>
      <w:r w:rsidR="0086158D" w:rsidRPr="003000A2">
        <w:rPr>
          <w:b/>
          <w:bCs/>
        </w:rPr>
        <w:t>, 2024</w:t>
      </w:r>
      <w:r w:rsidR="00581851" w:rsidRPr="003000A2">
        <w:rPr>
          <w:b/>
          <w:bCs/>
        </w:rPr>
        <w:t xml:space="preserve">, concurrent with the submission of each </w:t>
      </w:r>
      <w:r w:rsidR="002D4BA5" w:rsidRPr="003000A2">
        <w:rPr>
          <w:b/>
          <w:bCs/>
        </w:rPr>
        <w:t xml:space="preserve">program </w:t>
      </w:r>
      <w:r w:rsidR="00581851" w:rsidRPr="003000A2">
        <w:rPr>
          <w:b/>
          <w:bCs/>
        </w:rPr>
        <w:t>Self-Study Report</w:t>
      </w:r>
      <w:r w:rsidR="009610EC" w:rsidRPr="003000A2">
        <w:rPr>
          <w:b/>
          <w:bCs/>
        </w:rPr>
        <w:t>.</w:t>
      </w:r>
    </w:p>
    <w:bookmarkEnd w:id="3"/>
    <w:p w14:paraId="3A78E5F3" w14:textId="77777777" w:rsidR="00B1464D" w:rsidRPr="00730492" w:rsidRDefault="00B1464D" w:rsidP="00B1464D">
      <w:pPr>
        <w:rPr>
          <w:b/>
          <w:color w:val="595959"/>
        </w:rPr>
      </w:pPr>
    </w:p>
    <w:p w14:paraId="2B123BE3" w14:textId="2BAEC973" w:rsidR="00B1464D" w:rsidRPr="00B54C6B" w:rsidRDefault="00B1464D" w:rsidP="00A46401">
      <w:pPr>
        <w:rPr>
          <w:b/>
        </w:rPr>
      </w:pPr>
    </w:p>
    <w:p w14:paraId="3BDB7C0B" w14:textId="3DAF4F84" w:rsidR="00B1464D" w:rsidRPr="00911E13" w:rsidRDefault="00B1464D" w:rsidP="004B42D7">
      <w:pPr>
        <w:pStyle w:val="ListParagraph"/>
        <w:numPr>
          <w:ilvl w:val="0"/>
          <w:numId w:val="2"/>
        </w:numPr>
        <w:tabs>
          <w:tab w:val="clear" w:pos="720"/>
          <w:tab w:val="num" w:pos="360"/>
        </w:tabs>
        <w:ind w:left="360"/>
      </w:pPr>
      <w:r w:rsidRPr="00911E13">
        <w:t xml:space="preserve">The Team Chair and Program Evaluators will be able to access the </w:t>
      </w:r>
      <w:r w:rsidR="007F2009">
        <w:t>Supplemental EAC Pilot</w:t>
      </w:r>
      <w:r w:rsidRPr="00911E13">
        <w:t xml:space="preserve"> </w:t>
      </w:r>
      <w:r w:rsidR="00DC0A69" w:rsidRPr="00911E13">
        <w:t xml:space="preserve">Report </w:t>
      </w:r>
      <w:r w:rsidRPr="00911E13">
        <w:t>through the ABET Accreditation Management System. There will be no need to transmit these materials to the team.</w:t>
      </w:r>
    </w:p>
    <w:p w14:paraId="2F785216" w14:textId="7C7A1A39" w:rsidR="008C7E72" w:rsidRPr="00427F87" w:rsidRDefault="008C7E72" w:rsidP="00911E13"/>
    <w:p w14:paraId="7283E65B" w14:textId="42145B1F" w:rsidR="00B1464D" w:rsidRPr="006946EF" w:rsidRDefault="00B1464D" w:rsidP="00911E13">
      <w:pPr>
        <w:pStyle w:val="ListParagraph"/>
        <w:numPr>
          <w:ilvl w:val="0"/>
          <w:numId w:val="2"/>
        </w:numPr>
        <w:tabs>
          <w:tab w:val="clear" w:pos="720"/>
          <w:tab w:val="num" w:pos="360"/>
        </w:tabs>
        <w:ind w:left="360"/>
      </w:pPr>
      <w:r w:rsidRPr="006946EF">
        <w:t xml:space="preserve">Please send an </w:t>
      </w:r>
      <w:r w:rsidR="00811017">
        <w:t>e-mail</w:t>
      </w:r>
      <w:r w:rsidRPr="006946EF">
        <w:t xml:space="preserve"> to </w:t>
      </w:r>
      <w:hyperlink r:id="rId13" w:history="1">
        <w:r w:rsidRPr="006946EF">
          <w:rPr>
            <w:rStyle w:val="Hyperlink"/>
            <w:color w:val="595959" w:themeColor="text1" w:themeTint="A6"/>
          </w:rPr>
          <w:t>accreditation@abet.org</w:t>
        </w:r>
      </w:hyperlink>
      <w:r w:rsidRPr="006946EF">
        <w:t xml:space="preserve">  if there are any questions.</w:t>
      </w:r>
    </w:p>
    <w:p w14:paraId="02B4D14B" w14:textId="41ED38E7" w:rsidR="00686BC8" w:rsidRPr="00AF2DC5" w:rsidRDefault="00686BC8" w:rsidP="00B1464D">
      <w:pPr>
        <w:pStyle w:val="Heading1"/>
      </w:pPr>
      <w:bookmarkStart w:id="4" w:name="_Toc268163164"/>
      <w:r w:rsidRPr="00AF2DC5">
        <w:t>Confidentiality</w:t>
      </w:r>
      <w:bookmarkEnd w:id="4"/>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5" w:name="_Toc268163165"/>
      <w:r w:rsidRPr="00AF2DC5">
        <w:rPr>
          <w:rFonts w:cs="Arial"/>
        </w:rPr>
        <w:t>Template</w:t>
      </w:r>
      <w:bookmarkEnd w:id="5"/>
    </w:p>
    <w:p w14:paraId="1CB2C387" w14:textId="63CDEFF9" w:rsidR="00686BC8" w:rsidRPr="003736F8" w:rsidRDefault="00686BC8" w:rsidP="00C47F95">
      <w:r w:rsidRPr="003736F8">
        <w:t>The template for the S</w:t>
      </w:r>
      <w:r w:rsidR="00496405">
        <w:t xml:space="preserve">upplemental EAC Pilot Criteria </w:t>
      </w:r>
      <w:r w:rsidR="005E0096">
        <w:t xml:space="preserve">Report </w:t>
      </w:r>
      <w:r w:rsidRPr="003736F8">
        <w:t>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911E13">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36B04792" w:rsidR="004D3208" w:rsidRPr="009F28B2" w:rsidRDefault="00167892" w:rsidP="004D3208">
      <w:pPr>
        <w:jc w:val="center"/>
        <w:rPr>
          <w:rFonts w:ascii="Arial" w:hAnsi="Arial" w:cs="Arial"/>
          <w:b/>
          <w:sz w:val="40"/>
          <w:szCs w:val="40"/>
        </w:rPr>
      </w:pPr>
      <w:r>
        <w:rPr>
          <w:rFonts w:ascii="Arial" w:hAnsi="Arial" w:cs="Arial"/>
          <w:b/>
          <w:sz w:val="40"/>
          <w:szCs w:val="40"/>
        </w:rPr>
        <w:t xml:space="preserve">EAC Pilot Criteria </w:t>
      </w:r>
    </w:p>
    <w:p w14:paraId="2EB67C14" w14:textId="24232DCD" w:rsidR="004D3208" w:rsidRPr="009F28B2" w:rsidRDefault="004D3208" w:rsidP="004D3208">
      <w:pPr>
        <w:jc w:val="center"/>
        <w:rPr>
          <w:rFonts w:ascii="Arial" w:hAnsi="Arial" w:cs="Arial"/>
          <w:b/>
          <w:sz w:val="40"/>
          <w:szCs w:val="40"/>
        </w:rPr>
      </w:pPr>
      <w:r w:rsidRPr="009F28B2">
        <w:rPr>
          <w:rFonts w:ascii="Arial" w:hAnsi="Arial" w:cs="Arial"/>
          <w:b/>
          <w:sz w:val="40"/>
          <w:szCs w:val="40"/>
        </w:rPr>
        <w:t>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21F889E8"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FFE613C" w:rsidR="000E0108" w:rsidRPr="00B1464D" w:rsidRDefault="000E0108" w:rsidP="00A51DD3">
      <w:pPr>
        <w:jc w:val="center"/>
        <w:rPr>
          <w:sz w:val="28"/>
          <w:szCs w:val="28"/>
        </w:rPr>
      </w:pPr>
      <w:bookmarkStart w:id="6" w:name="_Toc267903776"/>
      <w:bookmarkStart w:id="7" w:name="_Toc268163166"/>
      <w:r w:rsidRPr="00B1464D">
        <w:rPr>
          <w:b/>
          <w:sz w:val="28"/>
          <w:szCs w:val="28"/>
        </w:rPr>
        <w:lastRenderedPageBreak/>
        <w:t>Program</w:t>
      </w:r>
      <w:r w:rsidR="00C44FC4">
        <w:rPr>
          <w:b/>
          <w:sz w:val="28"/>
          <w:szCs w:val="28"/>
        </w:rPr>
        <w:t xml:space="preserve"> Pilot</w:t>
      </w:r>
      <w:r w:rsidRPr="00B1464D">
        <w:rPr>
          <w:b/>
          <w:sz w:val="28"/>
          <w:szCs w:val="28"/>
        </w:rPr>
        <w:t xml:space="preserve"> Report</w:t>
      </w:r>
    </w:p>
    <w:p w14:paraId="6899641F" w14:textId="6E07AD93" w:rsidR="004469EA" w:rsidRPr="009E149E" w:rsidRDefault="00614B80" w:rsidP="009E149E">
      <w:pPr>
        <w:jc w:val="center"/>
        <w:rPr>
          <w:b/>
          <w:sz w:val="28"/>
          <w:szCs w:val="28"/>
        </w:rPr>
      </w:pPr>
      <w:r w:rsidRPr="00B1464D">
        <w:rPr>
          <w:b/>
          <w:sz w:val="28"/>
          <w:szCs w:val="28"/>
        </w:rPr>
        <w:t>F</w:t>
      </w:r>
      <w:r w:rsidR="000E0108" w:rsidRPr="00B1464D">
        <w:rPr>
          <w:b/>
          <w:sz w:val="28"/>
          <w:szCs w:val="28"/>
        </w:rPr>
        <w:t>or</w:t>
      </w:r>
      <w:r w:rsidR="000E0108" w:rsidRPr="00B1464D">
        <w:rPr>
          <w:b/>
          <w:sz w:val="28"/>
          <w:szCs w:val="28"/>
        </w:rPr>
        <w:br/>
      </w:r>
      <w:r w:rsidR="00E83BD1" w:rsidRPr="00B1464D">
        <w:rPr>
          <w:b/>
          <w:sz w:val="28"/>
          <w:szCs w:val="28"/>
        </w:rPr>
        <w:t xml:space="preserve">EAC </w:t>
      </w:r>
      <w:r w:rsidR="000E0108" w:rsidRPr="00B1464D">
        <w:rPr>
          <w:b/>
          <w:sz w:val="28"/>
          <w:szCs w:val="28"/>
        </w:rPr>
        <w:t>of ABET</w:t>
      </w:r>
      <w:bookmarkEnd w:id="6"/>
      <w:bookmarkEnd w:id="7"/>
    </w:p>
    <w:p w14:paraId="0C96CB7A" w14:textId="2EC0392A" w:rsidR="00996B74" w:rsidRPr="003576CC" w:rsidRDefault="009F7F16" w:rsidP="009E149E">
      <w:pPr>
        <w:pStyle w:val="Heading1"/>
      </w:pPr>
      <w:bookmarkStart w:id="8" w:name="_Toc267903789"/>
      <w:bookmarkStart w:id="9" w:name="_Toc268163167"/>
      <w:r w:rsidRPr="003576CC">
        <w:t xml:space="preserve">BACKGROUND INFORMATION </w:t>
      </w:r>
    </w:p>
    <w:p w14:paraId="1F5DCC16" w14:textId="709D47D7" w:rsidR="009F7F16" w:rsidRDefault="009F7F16">
      <w:pPr>
        <w:rPr>
          <w:rFonts w:ascii="Arial" w:hAnsi="Arial" w:cs="Arial"/>
          <w:b/>
          <w:sz w:val="28"/>
          <w:szCs w:val="28"/>
        </w:rPr>
      </w:pPr>
    </w:p>
    <w:p w14:paraId="5CD9EDF4" w14:textId="17F3D3AF" w:rsidR="003576CC" w:rsidRDefault="009F7F16">
      <w:pPr>
        <w:rPr>
          <w:bCs/>
        </w:rPr>
      </w:pPr>
      <w:r w:rsidRPr="003576CC">
        <w:rPr>
          <w:bCs/>
        </w:rPr>
        <w:t xml:space="preserve">The information in </w:t>
      </w:r>
      <w:r w:rsidR="00C50CBE" w:rsidRPr="003576CC">
        <w:rPr>
          <w:bCs/>
        </w:rPr>
        <w:t>this document</w:t>
      </w:r>
      <w:r w:rsidRPr="003576CC">
        <w:rPr>
          <w:bCs/>
        </w:rPr>
        <w:t xml:space="preserve"> is supplemental to that submitted in the</w:t>
      </w:r>
      <w:r w:rsidR="00F97F28">
        <w:rPr>
          <w:bCs/>
        </w:rPr>
        <w:t xml:space="preserve"> Self-Study Report </w:t>
      </w:r>
      <w:r w:rsidR="003000A2">
        <w:rPr>
          <w:bCs/>
        </w:rPr>
        <w:t>(</w:t>
      </w:r>
      <w:r w:rsidRPr="003576CC">
        <w:rPr>
          <w:bCs/>
        </w:rPr>
        <w:t>SSR</w:t>
      </w:r>
      <w:r w:rsidR="00F97F28">
        <w:rPr>
          <w:bCs/>
        </w:rPr>
        <w:t>)</w:t>
      </w:r>
      <w:r w:rsidR="00614B80">
        <w:rPr>
          <w:bCs/>
        </w:rPr>
        <w:t xml:space="preserve">. The information will be used </w:t>
      </w:r>
      <w:r w:rsidRPr="003576CC">
        <w:rPr>
          <w:bCs/>
        </w:rPr>
        <w:t xml:space="preserve">to </w:t>
      </w:r>
      <w:r w:rsidR="00A901B3" w:rsidRPr="003576CC">
        <w:rPr>
          <w:bCs/>
        </w:rPr>
        <w:t xml:space="preserve">review </w:t>
      </w:r>
      <w:r w:rsidR="00E1379E" w:rsidRPr="003576CC">
        <w:rPr>
          <w:bCs/>
        </w:rPr>
        <w:t xml:space="preserve">how the program complies with the </w:t>
      </w:r>
      <w:r w:rsidR="00614B80">
        <w:rPr>
          <w:bCs/>
        </w:rPr>
        <w:t xml:space="preserve">diversity, </w:t>
      </w:r>
      <w:proofErr w:type="gramStart"/>
      <w:r w:rsidR="00614B80">
        <w:rPr>
          <w:bCs/>
        </w:rPr>
        <w:t>equity</w:t>
      </w:r>
      <w:proofErr w:type="gramEnd"/>
      <w:r w:rsidR="00614B80">
        <w:rPr>
          <w:bCs/>
        </w:rPr>
        <w:t xml:space="preserve"> and inclusion (DEI)</w:t>
      </w:r>
      <w:r w:rsidR="00E1379E" w:rsidRPr="003576CC">
        <w:rPr>
          <w:bCs/>
        </w:rPr>
        <w:t xml:space="preserve"> </w:t>
      </w:r>
      <w:r w:rsidR="003576CC" w:rsidRPr="003576CC">
        <w:rPr>
          <w:bCs/>
        </w:rPr>
        <w:t>language</w:t>
      </w:r>
      <w:r w:rsidR="00E1379E" w:rsidRPr="003576CC">
        <w:rPr>
          <w:bCs/>
        </w:rPr>
        <w:t xml:space="preserve"> in Criteri</w:t>
      </w:r>
      <w:r w:rsidR="006D1583">
        <w:rPr>
          <w:bCs/>
        </w:rPr>
        <w:t>on</w:t>
      </w:r>
      <w:r w:rsidR="00E1379E" w:rsidRPr="003576CC">
        <w:rPr>
          <w:bCs/>
        </w:rPr>
        <w:t xml:space="preserve"> 5 </w:t>
      </w:r>
      <w:r w:rsidR="006D1583">
        <w:rPr>
          <w:bCs/>
        </w:rPr>
        <w:t>and</w:t>
      </w:r>
      <w:r w:rsidR="006D1583" w:rsidRPr="003576CC">
        <w:rPr>
          <w:bCs/>
        </w:rPr>
        <w:t xml:space="preserve"> </w:t>
      </w:r>
      <w:r w:rsidR="006D1583">
        <w:rPr>
          <w:bCs/>
        </w:rPr>
        <w:t xml:space="preserve">Criterion </w:t>
      </w:r>
      <w:r w:rsidR="00E1379E" w:rsidRPr="003576CC">
        <w:rPr>
          <w:bCs/>
        </w:rPr>
        <w:t>6</w:t>
      </w:r>
      <w:r w:rsidR="00614B80">
        <w:rPr>
          <w:bCs/>
        </w:rPr>
        <w:t xml:space="preserve"> </w:t>
      </w:r>
      <w:r w:rsidR="00FD486C">
        <w:rPr>
          <w:bCs/>
        </w:rPr>
        <w:t xml:space="preserve">pilot criteria </w:t>
      </w:r>
      <w:r w:rsidR="00614B80">
        <w:rPr>
          <w:bCs/>
        </w:rPr>
        <w:t>only</w:t>
      </w:r>
      <w:r w:rsidR="00E1379E" w:rsidRPr="003576CC">
        <w:rPr>
          <w:bCs/>
        </w:rPr>
        <w:t xml:space="preserve">.  Note that the words diversity, equity and </w:t>
      </w:r>
      <w:r w:rsidR="003576CC" w:rsidRPr="003576CC">
        <w:rPr>
          <w:bCs/>
        </w:rPr>
        <w:t>inclusion</w:t>
      </w:r>
      <w:r w:rsidR="00E1379E" w:rsidRPr="003576CC">
        <w:rPr>
          <w:bCs/>
        </w:rPr>
        <w:t xml:space="preserve"> must be used i</w:t>
      </w:r>
      <w:r w:rsidR="003576CC">
        <w:rPr>
          <w:bCs/>
        </w:rPr>
        <w:t>n</w:t>
      </w:r>
      <w:r w:rsidR="00E1379E" w:rsidRPr="003576CC">
        <w:rPr>
          <w:bCs/>
        </w:rPr>
        <w:t xml:space="preserve"> </w:t>
      </w:r>
      <w:r w:rsidR="006D1583">
        <w:rPr>
          <w:bCs/>
        </w:rPr>
        <w:t>conformance</w:t>
      </w:r>
      <w:r w:rsidR="006D1583" w:rsidRPr="003576CC">
        <w:rPr>
          <w:bCs/>
        </w:rPr>
        <w:t xml:space="preserve"> </w:t>
      </w:r>
      <w:r w:rsidR="00E1379E" w:rsidRPr="003576CC">
        <w:rPr>
          <w:bCs/>
        </w:rPr>
        <w:t xml:space="preserve">with </w:t>
      </w:r>
      <w:r w:rsidR="003576CC" w:rsidRPr="003576CC">
        <w:rPr>
          <w:bCs/>
        </w:rPr>
        <w:t>the definitions</w:t>
      </w:r>
      <w:r w:rsidR="003576CC">
        <w:rPr>
          <w:bCs/>
        </w:rPr>
        <w:t xml:space="preserve"> </w:t>
      </w:r>
      <w:r w:rsidR="002658D4">
        <w:rPr>
          <w:bCs/>
        </w:rPr>
        <w:t xml:space="preserve">of those terms </w:t>
      </w:r>
      <w:r w:rsidR="003576CC" w:rsidRPr="003576CC">
        <w:rPr>
          <w:bCs/>
        </w:rPr>
        <w:t>in the pilot criteria</w:t>
      </w:r>
      <w:r w:rsidR="00F97F28">
        <w:rPr>
          <w:bCs/>
        </w:rPr>
        <w:t xml:space="preserve">, as </w:t>
      </w:r>
      <w:r w:rsidR="0086158D">
        <w:rPr>
          <w:bCs/>
        </w:rPr>
        <w:t>presented below.</w:t>
      </w:r>
    </w:p>
    <w:p w14:paraId="346030DC" w14:textId="77777777" w:rsidR="0086158D" w:rsidRDefault="0086158D">
      <w:pPr>
        <w:rPr>
          <w:bCs/>
        </w:rPr>
      </w:pPr>
    </w:p>
    <w:p w14:paraId="27D0667A" w14:textId="66EE03DE" w:rsidR="0086158D" w:rsidRDefault="0086158D" w:rsidP="0086158D">
      <w:pPr>
        <w:rPr>
          <w:bCs/>
        </w:rPr>
      </w:pPr>
      <w:r w:rsidRPr="0086158D">
        <w:rPr>
          <w:b/>
          <w:bCs/>
        </w:rPr>
        <w:t xml:space="preserve">Inclusion </w:t>
      </w:r>
      <w:r w:rsidRPr="0086158D">
        <w:rPr>
          <w:bCs/>
        </w:rPr>
        <w:t xml:space="preserve">is the intentional, proactive, and continuing efforts and practices in which all members respect, support, and value others. </w:t>
      </w:r>
    </w:p>
    <w:p w14:paraId="54175003" w14:textId="77777777" w:rsidR="0086158D" w:rsidRPr="0086158D" w:rsidRDefault="0086158D" w:rsidP="0086158D">
      <w:pPr>
        <w:rPr>
          <w:bCs/>
        </w:rPr>
      </w:pPr>
    </w:p>
    <w:p w14:paraId="00F81E7B" w14:textId="1D65604E" w:rsidR="0086158D" w:rsidRDefault="0086158D" w:rsidP="0086158D">
      <w:pPr>
        <w:rPr>
          <w:bCs/>
        </w:rPr>
      </w:pPr>
      <w:r w:rsidRPr="0086158D">
        <w:rPr>
          <w:b/>
          <w:bCs/>
        </w:rPr>
        <w:t>Diversity</w:t>
      </w:r>
      <w:r w:rsidRPr="0086158D">
        <w:rPr>
          <w:bCs/>
        </w:rPr>
        <w:t xml:space="preserve"> is the range of human differences, encompassing the characteristics that make one individual or group different from another. Diversity includes, but is not limited to, the following characteristics: race, ethnicity, culture, gender identity and expression, age, national origin, religious beliefs, work sector, physical ability, sexual orientation, socioeconomic status, education, marital status, language, physical appearance, and cognitive differences.</w:t>
      </w:r>
    </w:p>
    <w:p w14:paraId="552C4250" w14:textId="77777777" w:rsidR="0086158D" w:rsidRPr="0086158D" w:rsidRDefault="0086158D" w:rsidP="0086158D">
      <w:pPr>
        <w:rPr>
          <w:bCs/>
        </w:rPr>
      </w:pPr>
    </w:p>
    <w:p w14:paraId="3431C8F2" w14:textId="49B60516" w:rsidR="003576CC" w:rsidRDefault="0086158D" w:rsidP="0086158D">
      <w:pPr>
        <w:rPr>
          <w:bCs/>
        </w:rPr>
      </w:pPr>
      <w:r w:rsidRPr="0086158D">
        <w:rPr>
          <w:b/>
          <w:bCs/>
        </w:rPr>
        <w:t>Equity</w:t>
      </w:r>
      <w:r w:rsidRPr="0086158D">
        <w:rPr>
          <w:bCs/>
        </w:rPr>
        <w:t xml:space="preserve"> is the fair treatment, access, opportunity, and advancement for all people, achieved by intentional focus on their disparate needs, conditions, and abilities. </w:t>
      </w:r>
      <w:r w:rsidR="003576CC">
        <w:rPr>
          <w:bCs/>
        </w:rPr>
        <w:br w:type="page"/>
      </w:r>
    </w:p>
    <w:p w14:paraId="03A27950" w14:textId="77777777" w:rsidR="009F7F16" w:rsidRPr="003576CC" w:rsidRDefault="009F7F16">
      <w:pPr>
        <w:rPr>
          <w:bCs/>
        </w:rPr>
      </w:pPr>
    </w:p>
    <w:p w14:paraId="20EE5BFE" w14:textId="202AA604" w:rsidR="003D1860" w:rsidRPr="003576CC" w:rsidRDefault="003D1860" w:rsidP="00F64A1D">
      <w:pPr>
        <w:pStyle w:val="Heading1"/>
        <w:rPr>
          <w:color w:val="E36C0A" w:themeColor="accent6" w:themeShade="BF"/>
        </w:rPr>
      </w:pPr>
      <w:bookmarkStart w:id="10" w:name="_Toc268163172"/>
      <w:bookmarkEnd w:id="8"/>
      <w:bookmarkEnd w:id="9"/>
      <w:r w:rsidRPr="00AF2DC5">
        <w:t>CRITERION 5.  CURRICULUM</w:t>
      </w:r>
      <w:bookmarkEnd w:id="10"/>
      <w:r w:rsidRPr="00AF2DC5">
        <w:t xml:space="preserve">  </w:t>
      </w:r>
    </w:p>
    <w:p w14:paraId="1225CDFB" w14:textId="77777777" w:rsidR="00614B80" w:rsidRPr="003000A2" w:rsidRDefault="00614B80" w:rsidP="00614B80">
      <w:pPr>
        <w:pStyle w:val="FirstParagraph"/>
        <w:rPr>
          <w:rFonts w:ascii="Times New Roman" w:hAnsi="Times New Roman" w:cs="Times New Roman"/>
          <w:b/>
          <w:bCs/>
          <w:color w:val="A6A6A6" w:themeColor="background1" w:themeShade="A6"/>
        </w:rPr>
      </w:pPr>
      <w:bookmarkStart w:id="11" w:name="criterion-5.-curriculum-1"/>
      <w:bookmarkStart w:id="12" w:name="_Toc268163173"/>
      <w:r w:rsidRPr="003000A2">
        <w:rPr>
          <w:rFonts w:ascii="Times New Roman" w:hAnsi="Times New Roman" w:cs="Times New Roman"/>
          <w:color w:val="A6A6A6" w:themeColor="background1" w:themeShade="A6"/>
        </w:rPr>
        <w:t xml:space="preserve">The curriculum requirements specify subject areas appropriate to engineering, but do not prescribe specific courses. The program curriculum must provide adequate content for each area, consistent with the student outcomes and program educational objectives, to ensure that students are prepared to enter the practice of engineering. </w:t>
      </w:r>
      <w:r w:rsidRPr="003000A2">
        <w:rPr>
          <w:rFonts w:ascii="Times New Roman" w:hAnsi="Times New Roman" w:cs="Times New Roman"/>
          <w:b/>
          <w:bCs/>
        </w:rPr>
        <w:t>The curriculum must include</w:t>
      </w:r>
      <w:r w:rsidRPr="003000A2">
        <w:rPr>
          <w:rFonts w:ascii="Times New Roman" w:hAnsi="Times New Roman" w:cs="Times New Roman"/>
          <w:b/>
          <w:bCs/>
          <w:color w:val="A6A6A6" w:themeColor="background1" w:themeShade="A6"/>
        </w:rPr>
        <w:t>:</w:t>
      </w:r>
    </w:p>
    <w:p w14:paraId="4F5BE2E9" w14:textId="77777777" w:rsidR="00614B80" w:rsidRPr="003000A2" w:rsidRDefault="00614B80" w:rsidP="00614B80">
      <w:pPr>
        <w:pStyle w:val="Compact"/>
        <w:numPr>
          <w:ilvl w:val="0"/>
          <w:numId w:val="27"/>
        </w:numPr>
        <w:rPr>
          <w:rFonts w:ascii="Times New Roman" w:hAnsi="Times New Roman" w:cs="Times New Roman"/>
          <w:color w:val="A6A6A6" w:themeColor="background1" w:themeShade="A6"/>
        </w:rPr>
      </w:pPr>
      <w:r w:rsidRPr="003000A2">
        <w:rPr>
          <w:rFonts w:ascii="Times New Roman" w:hAnsi="Times New Roman" w:cs="Times New Roman"/>
          <w:color w:val="A6A6A6" w:themeColor="background1" w:themeShade="A6"/>
        </w:rPr>
        <w:t>a minimum of 30 semester credit hours (or equivalent) of a combination of college-level mathematics and basic sciences with experimental experience appropriate to the program.</w:t>
      </w:r>
    </w:p>
    <w:p w14:paraId="131CDE7D" w14:textId="77777777" w:rsidR="00614B80" w:rsidRPr="003000A2" w:rsidRDefault="00614B80" w:rsidP="00614B80">
      <w:pPr>
        <w:pStyle w:val="Compact"/>
        <w:numPr>
          <w:ilvl w:val="0"/>
          <w:numId w:val="27"/>
        </w:numPr>
        <w:rPr>
          <w:rFonts w:ascii="Times New Roman" w:hAnsi="Times New Roman" w:cs="Times New Roman"/>
          <w:color w:val="A6A6A6" w:themeColor="background1" w:themeShade="A6"/>
        </w:rPr>
      </w:pPr>
      <w:r w:rsidRPr="003000A2">
        <w:rPr>
          <w:rFonts w:ascii="Times New Roman" w:hAnsi="Times New Roman" w:cs="Times New Roman"/>
          <w:color w:val="A6A6A6" w:themeColor="background1" w:themeShade="A6"/>
        </w:rPr>
        <w:t>a minimum of 45 semester credit hours (or equivalent) of engineering topics appropriate to the program, consisting of engineering and computer sciences and engineering design, and utilizing modern engineering tools.</w:t>
      </w:r>
    </w:p>
    <w:p w14:paraId="55900CB8" w14:textId="77777777" w:rsidR="00614B80" w:rsidRPr="003000A2" w:rsidRDefault="00614B80" w:rsidP="00614B80">
      <w:pPr>
        <w:pStyle w:val="Compact"/>
        <w:numPr>
          <w:ilvl w:val="0"/>
          <w:numId w:val="27"/>
        </w:numPr>
        <w:rPr>
          <w:rFonts w:ascii="Times New Roman" w:hAnsi="Times New Roman" w:cs="Times New Roman"/>
          <w:color w:val="A6A6A6" w:themeColor="background1" w:themeShade="A6"/>
        </w:rPr>
      </w:pPr>
      <w:r w:rsidRPr="003000A2">
        <w:rPr>
          <w:rFonts w:ascii="Times New Roman" w:hAnsi="Times New Roman" w:cs="Times New Roman"/>
          <w:color w:val="A6A6A6" w:themeColor="background1" w:themeShade="A6"/>
        </w:rPr>
        <w:t xml:space="preserve">a broad education component that complements the technical content of the curriculum and is consistent with the </w:t>
      </w:r>
      <w:proofErr w:type="gramStart"/>
      <w:r w:rsidRPr="003000A2">
        <w:rPr>
          <w:rFonts w:ascii="Times New Roman" w:hAnsi="Times New Roman" w:cs="Times New Roman"/>
          <w:color w:val="A6A6A6" w:themeColor="background1" w:themeShade="A6"/>
        </w:rPr>
        <w:t>program</w:t>
      </w:r>
      <w:proofErr w:type="gramEnd"/>
      <w:r w:rsidRPr="003000A2">
        <w:rPr>
          <w:rFonts w:ascii="Times New Roman" w:hAnsi="Times New Roman" w:cs="Times New Roman"/>
          <w:color w:val="A6A6A6" w:themeColor="background1" w:themeShade="A6"/>
        </w:rPr>
        <w:t xml:space="preserve"> educational objectives.</w:t>
      </w:r>
    </w:p>
    <w:p w14:paraId="1244C83C" w14:textId="77777777" w:rsidR="00614B80" w:rsidRPr="003000A2" w:rsidRDefault="00614B80" w:rsidP="00614B80">
      <w:pPr>
        <w:pStyle w:val="Compact"/>
        <w:numPr>
          <w:ilvl w:val="0"/>
          <w:numId w:val="27"/>
        </w:numPr>
        <w:rPr>
          <w:rFonts w:ascii="Times New Roman" w:hAnsi="Times New Roman" w:cs="Times New Roman"/>
          <w:b/>
          <w:bCs/>
        </w:rPr>
      </w:pPr>
      <w:r w:rsidRPr="003000A2">
        <w:rPr>
          <w:rFonts w:ascii="Times New Roman" w:hAnsi="Times New Roman" w:cs="Times New Roman"/>
          <w:b/>
          <w:bCs/>
        </w:rPr>
        <w:t>content that ensures awareness of diversity, equity, and inclusion for professional practice consistent with the institution’s mission.</w:t>
      </w:r>
    </w:p>
    <w:p w14:paraId="73C27405" w14:textId="77777777" w:rsidR="00614B80" w:rsidRPr="003000A2" w:rsidRDefault="00614B80" w:rsidP="00614B80">
      <w:pPr>
        <w:pStyle w:val="Compact"/>
        <w:numPr>
          <w:ilvl w:val="0"/>
          <w:numId w:val="27"/>
        </w:numPr>
        <w:rPr>
          <w:rFonts w:ascii="Times New Roman" w:hAnsi="Times New Roman" w:cs="Times New Roman"/>
          <w:color w:val="A6A6A6" w:themeColor="background1" w:themeShade="A6"/>
        </w:rPr>
      </w:pPr>
      <w:r w:rsidRPr="003000A2">
        <w:rPr>
          <w:rFonts w:ascii="Times New Roman" w:hAnsi="Times New Roman" w:cs="Times New Roman"/>
          <w:color w:val="A6A6A6" w:themeColor="background1" w:themeShade="A6"/>
        </w:rPr>
        <w:t>a culminating major design experience that 1) incorporates appropriate engineering standards and multiple constraints, and 2) is based on the knowledge and skills acquired in earlier course work.</w:t>
      </w:r>
    </w:p>
    <w:bookmarkEnd w:id="11"/>
    <w:p w14:paraId="0FC4011E" w14:textId="77777777" w:rsidR="00791BB1" w:rsidRPr="00B328BD" w:rsidRDefault="00791BB1">
      <w:pPr>
        <w:rPr>
          <w:color w:val="auto"/>
        </w:rPr>
      </w:pPr>
    </w:p>
    <w:p w14:paraId="75BCD752" w14:textId="77777777" w:rsidR="0082085C" w:rsidRPr="00B328BD" w:rsidRDefault="0082085C" w:rsidP="00FB1BD5">
      <w:pPr>
        <w:rPr>
          <w:bCs/>
        </w:rPr>
      </w:pPr>
    </w:p>
    <w:p w14:paraId="049BEA9C" w14:textId="7F0F0459" w:rsidR="00C77C1E" w:rsidRPr="00B328BD" w:rsidRDefault="00213C96" w:rsidP="00C77C1E">
      <w:pPr>
        <w:pStyle w:val="Heading2"/>
        <w:rPr>
          <w:rFonts w:ascii="Times New Roman" w:hAnsi="Times New Roman"/>
          <w:sz w:val="24"/>
          <w:szCs w:val="24"/>
        </w:rPr>
      </w:pPr>
      <w:r w:rsidRPr="00B328BD">
        <w:rPr>
          <w:rFonts w:ascii="Times New Roman" w:hAnsi="Times New Roman"/>
          <w:sz w:val="24"/>
          <w:szCs w:val="24"/>
        </w:rPr>
        <w:t>A</w:t>
      </w:r>
      <w:r w:rsidR="00C77C1E" w:rsidRPr="00B328BD">
        <w:rPr>
          <w:rFonts w:ascii="Times New Roman" w:hAnsi="Times New Roman"/>
          <w:sz w:val="24"/>
          <w:szCs w:val="24"/>
        </w:rPr>
        <w:t>. Awareness of Diversity</w:t>
      </w:r>
      <w:r w:rsidRPr="00B328BD">
        <w:rPr>
          <w:rFonts w:ascii="Times New Roman" w:hAnsi="Times New Roman"/>
          <w:sz w:val="24"/>
          <w:szCs w:val="24"/>
        </w:rPr>
        <w:t xml:space="preserve"> for Professional Practice</w:t>
      </w:r>
    </w:p>
    <w:p w14:paraId="274448A1" w14:textId="37CD2A39" w:rsidR="00213C96" w:rsidRPr="00B328BD" w:rsidRDefault="00213C96" w:rsidP="00213C96">
      <w:pPr>
        <w:rPr>
          <w:bCs/>
        </w:rPr>
      </w:pPr>
      <w:r w:rsidRPr="00B328BD">
        <w:rPr>
          <w:bCs/>
        </w:rPr>
        <w:t xml:space="preserve">Describe the curriculum components that ensure student awareness of </w:t>
      </w:r>
      <w:r w:rsidRPr="00B328BD">
        <w:rPr>
          <w:b/>
        </w:rPr>
        <w:t>diversity</w:t>
      </w:r>
      <w:r w:rsidRPr="00B328BD">
        <w:rPr>
          <w:bCs/>
        </w:rPr>
        <w:t xml:space="preserve"> for professional practice. Identify specific curriculum content. Describe. how these components are consistent with the institution’s mission.</w:t>
      </w:r>
    </w:p>
    <w:p w14:paraId="291F0CD3" w14:textId="3CF233F6" w:rsidR="00C77C1E" w:rsidRPr="00B328BD" w:rsidRDefault="00213C96" w:rsidP="00C77C1E">
      <w:pPr>
        <w:pStyle w:val="Heading2"/>
        <w:rPr>
          <w:rFonts w:ascii="Times New Roman" w:hAnsi="Times New Roman"/>
          <w:sz w:val="24"/>
          <w:szCs w:val="24"/>
        </w:rPr>
      </w:pPr>
      <w:r w:rsidRPr="00B328BD">
        <w:rPr>
          <w:rFonts w:ascii="Times New Roman" w:hAnsi="Times New Roman"/>
          <w:sz w:val="24"/>
          <w:szCs w:val="24"/>
        </w:rPr>
        <w:t>B</w:t>
      </w:r>
      <w:r w:rsidR="00C77C1E" w:rsidRPr="00B328BD">
        <w:rPr>
          <w:rFonts w:ascii="Times New Roman" w:hAnsi="Times New Roman"/>
          <w:sz w:val="24"/>
          <w:szCs w:val="24"/>
        </w:rPr>
        <w:t>. Awareness of Equity</w:t>
      </w:r>
      <w:r w:rsidRPr="00B328BD">
        <w:rPr>
          <w:rFonts w:ascii="Times New Roman" w:hAnsi="Times New Roman"/>
          <w:sz w:val="24"/>
          <w:szCs w:val="24"/>
        </w:rPr>
        <w:t xml:space="preserve"> for Professional Practice</w:t>
      </w:r>
    </w:p>
    <w:p w14:paraId="717A1D15" w14:textId="4BF00710" w:rsidR="00213C96" w:rsidRPr="00B328BD" w:rsidRDefault="00213C96" w:rsidP="00213C96">
      <w:pPr>
        <w:rPr>
          <w:bCs/>
        </w:rPr>
      </w:pPr>
      <w:r w:rsidRPr="00B328BD">
        <w:rPr>
          <w:bCs/>
        </w:rPr>
        <w:t xml:space="preserve">Describe the curriculum components that ensure student awareness of </w:t>
      </w:r>
      <w:r w:rsidRPr="00B328BD">
        <w:rPr>
          <w:b/>
        </w:rPr>
        <w:t>equity</w:t>
      </w:r>
      <w:r w:rsidRPr="00B328BD">
        <w:rPr>
          <w:bCs/>
        </w:rPr>
        <w:t xml:space="preserve"> for professional practice. Identify specific curriculum content. Describe how these components are consistent with the institution’s mission.</w:t>
      </w:r>
    </w:p>
    <w:p w14:paraId="46E84B8A" w14:textId="11EA108F" w:rsidR="00C77C1E" w:rsidRPr="00B328BD" w:rsidRDefault="00213C96" w:rsidP="00C77C1E">
      <w:pPr>
        <w:pStyle w:val="Heading2"/>
        <w:rPr>
          <w:rFonts w:ascii="Times New Roman" w:hAnsi="Times New Roman"/>
          <w:sz w:val="24"/>
          <w:szCs w:val="24"/>
        </w:rPr>
      </w:pPr>
      <w:r w:rsidRPr="00B328BD">
        <w:rPr>
          <w:rFonts w:ascii="Times New Roman" w:hAnsi="Times New Roman"/>
          <w:sz w:val="24"/>
          <w:szCs w:val="24"/>
        </w:rPr>
        <w:t>C</w:t>
      </w:r>
      <w:r w:rsidR="00C77C1E" w:rsidRPr="00B328BD">
        <w:rPr>
          <w:rFonts w:ascii="Times New Roman" w:hAnsi="Times New Roman"/>
          <w:sz w:val="24"/>
          <w:szCs w:val="24"/>
        </w:rPr>
        <w:t>. Awareness of Inclusion</w:t>
      </w:r>
      <w:r w:rsidRPr="00B328BD">
        <w:rPr>
          <w:rFonts w:ascii="Times New Roman" w:hAnsi="Times New Roman"/>
          <w:sz w:val="24"/>
          <w:szCs w:val="24"/>
        </w:rPr>
        <w:t xml:space="preserve"> for Professional Practice</w:t>
      </w:r>
    </w:p>
    <w:p w14:paraId="06D3E99B" w14:textId="5CBF61CF" w:rsidR="00213C96" w:rsidRPr="00B328BD" w:rsidRDefault="00213C96" w:rsidP="00213C96">
      <w:pPr>
        <w:rPr>
          <w:bCs/>
        </w:rPr>
      </w:pPr>
      <w:r w:rsidRPr="00B328BD">
        <w:rPr>
          <w:bCs/>
        </w:rPr>
        <w:t xml:space="preserve">Describe the curriculum components that ensure student awareness of </w:t>
      </w:r>
      <w:r w:rsidRPr="00B328BD">
        <w:rPr>
          <w:b/>
        </w:rPr>
        <w:t>inclusion</w:t>
      </w:r>
      <w:r w:rsidRPr="00B328BD">
        <w:rPr>
          <w:bCs/>
        </w:rPr>
        <w:t xml:space="preserve"> for professional practice. Identify specific curriculum content. Describe how these components are consistent with the institution’s mission.</w:t>
      </w:r>
    </w:p>
    <w:p w14:paraId="7F24C9C9" w14:textId="1C5AAEB3" w:rsidR="003C5EA1" w:rsidRPr="00B328BD" w:rsidRDefault="003C5EA1">
      <w:pPr>
        <w:rPr>
          <w:bCs/>
        </w:rPr>
      </w:pPr>
      <w:r w:rsidRPr="00B328BD">
        <w:br w:type="page"/>
      </w:r>
    </w:p>
    <w:p w14:paraId="54108CB1" w14:textId="77777777" w:rsidR="00DA0AF5" w:rsidRPr="00B328BD" w:rsidRDefault="00DA0AF5" w:rsidP="00DA0AF5">
      <w:pPr>
        <w:pStyle w:val="ListParagraph"/>
      </w:pPr>
    </w:p>
    <w:p w14:paraId="069149B4" w14:textId="5E590312" w:rsidR="003A34CA" w:rsidRPr="00B1464D" w:rsidRDefault="00E36873" w:rsidP="00D64134">
      <w:pPr>
        <w:pStyle w:val="BodyText"/>
        <w:widowControl w:val="0"/>
        <w:tabs>
          <w:tab w:val="left" w:pos="2280"/>
        </w:tabs>
        <w:kinsoku w:val="0"/>
        <w:overflowPunct w:val="0"/>
        <w:autoSpaceDE w:val="0"/>
        <w:autoSpaceDN w:val="0"/>
        <w:adjustRightInd w:val="0"/>
        <w:spacing w:after="0"/>
        <w:ind w:right="674"/>
      </w:pPr>
      <w:r w:rsidRPr="00B1464D">
        <w:t>.</w:t>
      </w:r>
    </w:p>
    <w:p w14:paraId="53C9DA8A" w14:textId="77777777" w:rsidR="003A34CA" w:rsidRPr="00DE423F" w:rsidRDefault="003A34CA" w:rsidP="003A34CA">
      <w:pPr>
        <w:rPr>
          <w:rFonts w:ascii="Georgia" w:hAnsi="Georgia"/>
          <w:strike/>
        </w:rPr>
      </w:pPr>
    </w:p>
    <w:p w14:paraId="2695068B" w14:textId="77777777" w:rsidR="003D1860" w:rsidRDefault="003D1860" w:rsidP="00B314B2">
      <w:pPr>
        <w:pStyle w:val="Heading1"/>
        <w:spacing w:before="0"/>
        <w:rPr>
          <w:rFonts w:cs="Arial"/>
        </w:rPr>
      </w:pPr>
      <w:bookmarkStart w:id="13" w:name="_Toc268163175"/>
      <w:bookmarkEnd w:id="12"/>
      <w:r w:rsidRPr="00AF2DC5">
        <w:rPr>
          <w:rFonts w:cs="Arial"/>
        </w:rPr>
        <w:t>CRITERION 6. FACULTY</w:t>
      </w:r>
      <w:bookmarkEnd w:id="13"/>
      <w:r w:rsidRPr="00AF2DC5">
        <w:rPr>
          <w:rFonts w:cs="Arial"/>
        </w:rPr>
        <w:t xml:space="preserve"> </w:t>
      </w:r>
    </w:p>
    <w:p w14:paraId="669BFEEF" w14:textId="77777777" w:rsidR="004B42D7" w:rsidRPr="004B42D7" w:rsidRDefault="004B42D7" w:rsidP="004B42D7">
      <w:pPr>
        <w:pStyle w:val="NormalWeb"/>
        <w:shd w:val="clear" w:color="auto" w:fill="FFFFFF"/>
        <w:rPr>
          <w:rStyle w:val="Strong"/>
          <w:b w:val="0"/>
          <w:bCs w:val="0"/>
          <w:color w:val="A6A6A6" w:themeColor="background1" w:themeShade="A6"/>
        </w:rPr>
      </w:pPr>
      <w:r w:rsidRPr="004B42D7">
        <w:rPr>
          <w:rStyle w:val="Strong"/>
          <w:b w:val="0"/>
          <w:bCs w:val="0"/>
          <w:color w:val="A6A6A6" w:themeColor="background1" w:themeShade="A6"/>
        </w:rPr>
        <w:t xml:space="preserve">The program must demonstrate that the faculty members are of sufficient </w:t>
      </w:r>
      <w:proofErr w:type="gramStart"/>
      <w:r w:rsidRPr="004B42D7">
        <w:rPr>
          <w:rStyle w:val="Strong"/>
          <w:b w:val="0"/>
          <w:bCs w:val="0"/>
          <w:color w:val="A6A6A6" w:themeColor="background1" w:themeShade="A6"/>
        </w:rPr>
        <w:t>number</w:t>
      </w:r>
      <w:proofErr w:type="gramEnd"/>
      <w:r w:rsidRPr="004B42D7">
        <w:rPr>
          <w:rStyle w:val="Strong"/>
          <w:b w:val="0"/>
          <w:bCs w:val="0"/>
          <w:color w:val="A6A6A6" w:themeColor="background1" w:themeShade="A6"/>
        </w:rPr>
        <w:t xml:space="preserve"> and they have the competencies to cover all of the curricular areas of the program. There must be sufficient faculty to accommodate adequate levels of student-faculty interaction, student advising and counseling, university service activities, professional development, and interactions with industrial and professional practitioners, as well as employers of students.</w:t>
      </w:r>
    </w:p>
    <w:p w14:paraId="05FD48E0" w14:textId="52D8EA29" w:rsidR="004B42D7" w:rsidRDefault="004B42D7" w:rsidP="004B42D7">
      <w:pPr>
        <w:pStyle w:val="NormalWeb"/>
        <w:shd w:val="clear" w:color="auto" w:fill="FFFFFF"/>
        <w:rPr>
          <w:color w:val="000000" w:themeColor="text1"/>
        </w:rPr>
      </w:pPr>
      <w:r w:rsidRPr="004B42D7">
        <w:rPr>
          <w:rStyle w:val="Strong"/>
          <w:b w:val="0"/>
          <w:bCs w:val="0"/>
          <w:color w:val="A6A6A6" w:themeColor="background1" w:themeShade="A6"/>
        </w:rPr>
        <w:t>The program faculty must have appropriate qualifications and must have and demonstrate sufficient authority to ensure the proper guidance of the program and to develop and implement processes for the evaluation, assessment, and continuing improvement of the program.</w:t>
      </w:r>
      <w:r>
        <w:rPr>
          <w:rStyle w:val="Strong"/>
          <w:b w:val="0"/>
          <w:bCs w:val="0"/>
          <w:color w:val="A6A6A6" w:themeColor="background1" w:themeShade="A6"/>
        </w:rPr>
        <w:t xml:space="preserve"> </w:t>
      </w:r>
      <w:r w:rsidR="00AE4D0E" w:rsidRPr="004B42D7">
        <w:rPr>
          <w:rStyle w:val="Strong"/>
        </w:rPr>
        <w:t>T</w:t>
      </w:r>
      <w:r w:rsidR="00AE4D0E" w:rsidRPr="0078635F">
        <w:rPr>
          <w:b/>
          <w:bCs/>
          <w:color w:val="000000" w:themeColor="text1"/>
        </w:rPr>
        <w:t xml:space="preserve">he </w:t>
      </w:r>
      <w:r w:rsidR="00AE4D0E" w:rsidRPr="004B42D7">
        <w:rPr>
          <w:b/>
          <w:bCs/>
        </w:rPr>
        <w:t>program faculty must also demonstrate knowledge of applicable institutional policies on diversity</w:t>
      </w:r>
      <w:r w:rsidR="00AE4D0E" w:rsidRPr="0078635F">
        <w:rPr>
          <w:b/>
          <w:bCs/>
          <w:color w:val="000000" w:themeColor="text1"/>
        </w:rPr>
        <w:t>, equity, and inclusion, and demonstrate awareness appropriate to providing an equitable and inclusive environment for its students that respects the institution’s mission</w:t>
      </w:r>
      <w:r>
        <w:rPr>
          <w:color w:val="000000" w:themeColor="text1"/>
        </w:rPr>
        <w:t>.</w:t>
      </w:r>
    </w:p>
    <w:p w14:paraId="336D778C" w14:textId="796C7985" w:rsidR="00AE4D0E" w:rsidRDefault="004B42D7" w:rsidP="00FD486C">
      <w:pPr>
        <w:rPr>
          <w:rStyle w:val="Strong"/>
          <w:b w:val="0"/>
          <w:bCs w:val="0"/>
          <w:color w:val="A6A6A6" w:themeColor="background1" w:themeShade="A6"/>
        </w:rPr>
      </w:pPr>
      <w:r w:rsidRPr="004B42D7">
        <w:rPr>
          <w:rStyle w:val="Strong"/>
          <w:b w:val="0"/>
          <w:bCs w:val="0"/>
          <w:color w:val="A6A6A6" w:themeColor="background1" w:themeShade="A6"/>
        </w:rPr>
        <w:t>The overall competence of the faculty may be judged by such factors as education, diversity of backgrounds, engineering experience, teaching effectiveness and experience, ability to communicate, enthusiasm for developing more effective programs, level of scholarship, participation in professional societies, and licensure as Professional Engineers.</w:t>
      </w:r>
    </w:p>
    <w:p w14:paraId="391D9C67" w14:textId="77777777" w:rsidR="004B42D7" w:rsidRPr="004B42D7" w:rsidRDefault="004B42D7" w:rsidP="00FD486C">
      <w:pPr>
        <w:rPr>
          <w:rStyle w:val="Strong"/>
          <w:b w:val="0"/>
          <w:bCs w:val="0"/>
          <w:color w:val="A6A6A6" w:themeColor="background1" w:themeShade="A6"/>
        </w:rPr>
      </w:pPr>
    </w:p>
    <w:p w14:paraId="2E4073B9" w14:textId="17D00F27" w:rsidR="007F56C7" w:rsidRPr="00B328BD" w:rsidRDefault="00C77C1E" w:rsidP="00C77C1E">
      <w:pPr>
        <w:pStyle w:val="Heading2"/>
        <w:rPr>
          <w:rFonts w:ascii="Times New Roman" w:hAnsi="Times New Roman"/>
          <w:sz w:val="24"/>
          <w:szCs w:val="24"/>
        </w:rPr>
      </w:pPr>
      <w:r w:rsidRPr="00B328BD">
        <w:rPr>
          <w:rFonts w:ascii="Times New Roman" w:hAnsi="Times New Roman"/>
          <w:sz w:val="24"/>
          <w:szCs w:val="24"/>
        </w:rPr>
        <w:t>A. Policies on DEI</w:t>
      </w:r>
    </w:p>
    <w:p w14:paraId="68204038" w14:textId="587790C9" w:rsidR="0082085C" w:rsidRPr="00B328BD" w:rsidRDefault="00AE4D0E" w:rsidP="0082085C">
      <w:pPr>
        <w:rPr>
          <w:bCs/>
        </w:rPr>
      </w:pPr>
      <w:r w:rsidRPr="00B328BD">
        <w:rPr>
          <w:bCs/>
        </w:rPr>
        <w:t>List the ins</w:t>
      </w:r>
      <w:r w:rsidR="0082085C" w:rsidRPr="00B328BD">
        <w:rPr>
          <w:bCs/>
        </w:rPr>
        <w:t>titutional policies on diversity, equity, and inclusion.</w:t>
      </w:r>
    </w:p>
    <w:p w14:paraId="384C8B39" w14:textId="77777777" w:rsidR="0082085C" w:rsidRPr="00B328BD" w:rsidRDefault="0082085C" w:rsidP="0082085C">
      <w:pPr>
        <w:rPr>
          <w:color w:val="auto"/>
        </w:rPr>
      </w:pPr>
    </w:p>
    <w:p w14:paraId="28E2BA0E" w14:textId="4CF92E88" w:rsidR="00C77C1E" w:rsidRPr="00B328BD" w:rsidRDefault="00C77C1E" w:rsidP="00C77C1E">
      <w:pPr>
        <w:pStyle w:val="Heading2"/>
        <w:rPr>
          <w:rFonts w:ascii="Times New Roman" w:hAnsi="Times New Roman"/>
          <w:sz w:val="24"/>
          <w:szCs w:val="24"/>
        </w:rPr>
      </w:pPr>
      <w:r w:rsidRPr="00B328BD">
        <w:rPr>
          <w:rFonts w:ascii="Times New Roman" w:hAnsi="Times New Roman"/>
          <w:sz w:val="24"/>
          <w:szCs w:val="24"/>
        </w:rPr>
        <w:t>B. Faculty Knowledge of Diversity Policies</w:t>
      </w:r>
    </w:p>
    <w:p w14:paraId="574BE0F5" w14:textId="1E537B11" w:rsidR="0082085C" w:rsidRPr="00B328BD" w:rsidRDefault="0082085C" w:rsidP="0082085C">
      <w:pPr>
        <w:rPr>
          <w:bCs/>
        </w:rPr>
      </w:pPr>
      <w:bookmarkStart w:id="14" w:name="_Toc268163190"/>
      <w:r w:rsidRPr="00B328BD">
        <w:rPr>
          <w:bCs/>
        </w:rPr>
        <w:t xml:space="preserve">Describe how faculty demonstrate knowledge of institutional policies on </w:t>
      </w:r>
      <w:r w:rsidRPr="00B328BD">
        <w:rPr>
          <w:b/>
        </w:rPr>
        <w:t>diversity.</w:t>
      </w:r>
    </w:p>
    <w:p w14:paraId="1501EDEC" w14:textId="77777777" w:rsidR="0082085C" w:rsidRPr="00B328BD" w:rsidRDefault="0082085C" w:rsidP="0082085C">
      <w:pPr>
        <w:rPr>
          <w:color w:val="auto"/>
        </w:rPr>
      </w:pPr>
    </w:p>
    <w:p w14:paraId="67CA5EF4" w14:textId="1BB7F7A0" w:rsidR="00C77C1E" w:rsidRPr="00B328BD" w:rsidRDefault="00C77C1E" w:rsidP="00C77C1E">
      <w:pPr>
        <w:pStyle w:val="Heading2"/>
        <w:rPr>
          <w:rFonts w:ascii="Times New Roman" w:hAnsi="Times New Roman"/>
          <w:sz w:val="24"/>
          <w:szCs w:val="24"/>
        </w:rPr>
      </w:pPr>
      <w:r w:rsidRPr="00B328BD">
        <w:rPr>
          <w:rFonts w:ascii="Times New Roman" w:hAnsi="Times New Roman"/>
          <w:sz w:val="24"/>
          <w:szCs w:val="24"/>
        </w:rPr>
        <w:t>C. Faculty Knowledge of Equity Policies</w:t>
      </w:r>
    </w:p>
    <w:p w14:paraId="4147CA66" w14:textId="7994D328" w:rsidR="0082085C" w:rsidRPr="00B328BD" w:rsidRDefault="0082085C" w:rsidP="0082085C">
      <w:pPr>
        <w:rPr>
          <w:bCs/>
        </w:rPr>
      </w:pPr>
      <w:r w:rsidRPr="00B328BD">
        <w:rPr>
          <w:bCs/>
        </w:rPr>
        <w:t xml:space="preserve">Describe how faculty demonstrate knowledge of applicable institutional policies on </w:t>
      </w:r>
      <w:r w:rsidRPr="00B328BD">
        <w:rPr>
          <w:b/>
        </w:rPr>
        <w:t>equity.</w:t>
      </w:r>
    </w:p>
    <w:p w14:paraId="7A2C70F6" w14:textId="77777777" w:rsidR="0082085C" w:rsidRPr="00B328BD" w:rsidRDefault="0082085C" w:rsidP="0082085C">
      <w:pPr>
        <w:rPr>
          <w:color w:val="auto"/>
        </w:rPr>
      </w:pPr>
    </w:p>
    <w:p w14:paraId="2E5BFBEA" w14:textId="3FDE4038" w:rsidR="00C77C1E" w:rsidRPr="00B328BD" w:rsidRDefault="00C77C1E" w:rsidP="00C77C1E">
      <w:pPr>
        <w:pStyle w:val="Heading2"/>
        <w:rPr>
          <w:rFonts w:ascii="Times New Roman" w:hAnsi="Times New Roman"/>
          <w:sz w:val="24"/>
          <w:szCs w:val="24"/>
        </w:rPr>
      </w:pPr>
      <w:r w:rsidRPr="00B328BD">
        <w:rPr>
          <w:rFonts w:ascii="Times New Roman" w:hAnsi="Times New Roman"/>
          <w:sz w:val="24"/>
          <w:szCs w:val="24"/>
        </w:rPr>
        <w:t>D. Faculty Knowledge of Inclusion Policies</w:t>
      </w:r>
    </w:p>
    <w:p w14:paraId="2239C460" w14:textId="133290D8" w:rsidR="0082085C" w:rsidRPr="00B328BD" w:rsidRDefault="0082085C" w:rsidP="0082085C">
      <w:pPr>
        <w:rPr>
          <w:bCs/>
        </w:rPr>
      </w:pPr>
      <w:r w:rsidRPr="00B328BD">
        <w:rPr>
          <w:bCs/>
        </w:rPr>
        <w:t xml:space="preserve">Describe how faculty demonstrate knowledge of applicable institutional policies on </w:t>
      </w:r>
      <w:r w:rsidRPr="00B328BD">
        <w:rPr>
          <w:b/>
        </w:rPr>
        <w:t>inclusion.</w:t>
      </w:r>
    </w:p>
    <w:p w14:paraId="35AE3A1C" w14:textId="77777777" w:rsidR="0082085C" w:rsidRPr="00B328BD" w:rsidRDefault="0082085C" w:rsidP="0082085C">
      <w:pPr>
        <w:rPr>
          <w:bCs/>
        </w:rPr>
      </w:pPr>
    </w:p>
    <w:p w14:paraId="481020AF" w14:textId="3B6815D0" w:rsidR="00C77C1E" w:rsidRPr="00B328BD" w:rsidRDefault="00C77C1E" w:rsidP="00C77C1E">
      <w:pPr>
        <w:pStyle w:val="Heading2"/>
        <w:rPr>
          <w:rFonts w:ascii="Times New Roman" w:hAnsi="Times New Roman"/>
          <w:sz w:val="24"/>
          <w:szCs w:val="24"/>
        </w:rPr>
      </w:pPr>
      <w:r w:rsidRPr="00B328BD">
        <w:rPr>
          <w:rFonts w:ascii="Times New Roman" w:hAnsi="Times New Roman"/>
          <w:sz w:val="24"/>
          <w:szCs w:val="24"/>
        </w:rPr>
        <w:lastRenderedPageBreak/>
        <w:t xml:space="preserve">E. Faculty </w:t>
      </w:r>
      <w:r w:rsidR="003000A2">
        <w:rPr>
          <w:rFonts w:ascii="Times New Roman" w:hAnsi="Times New Roman"/>
          <w:sz w:val="24"/>
          <w:szCs w:val="24"/>
        </w:rPr>
        <w:t xml:space="preserve">Awareness </w:t>
      </w:r>
      <w:r w:rsidR="002A0C6E" w:rsidRPr="00B328BD">
        <w:rPr>
          <w:rFonts w:ascii="Times New Roman" w:hAnsi="Times New Roman"/>
          <w:sz w:val="24"/>
          <w:szCs w:val="24"/>
        </w:rPr>
        <w:t>Appropriate</w:t>
      </w:r>
      <w:r w:rsidRPr="00B328BD">
        <w:rPr>
          <w:rFonts w:ascii="Times New Roman" w:hAnsi="Times New Roman"/>
          <w:sz w:val="24"/>
          <w:szCs w:val="24"/>
        </w:rPr>
        <w:t xml:space="preserve"> </w:t>
      </w:r>
      <w:r w:rsidR="002A0C6E" w:rsidRPr="00B328BD">
        <w:rPr>
          <w:rFonts w:ascii="Times New Roman" w:hAnsi="Times New Roman"/>
          <w:sz w:val="24"/>
          <w:szCs w:val="24"/>
        </w:rPr>
        <w:t xml:space="preserve">to </w:t>
      </w:r>
      <w:r w:rsidRPr="00B328BD">
        <w:rPr>
          <w:rFonts w:ascii="Times New Roman" w:hAnsi="Times New Roman"/>
          <w:sz w:val="24"/>
          <w:szCs w:val="24"/>
        </w:rPr>
        <w:t>Provid</w:t>
      </w:r>
      <w:r w:rsidR="002A0C6E" w:rsidRPr="00B328BD">
        <w:rPr>
          <w:rFonts w:ascii="Times New Roman" w:hAnsi="Times New Roman"/>
          <w:sz w:val="24"/>
          <w:szCs w:val="24"/>
        </w:rPr>
        <w:t>e</w:t>
      </w:r>
      <w:r w:rsidRPr="00B328BD">
        <w:rPr>
          <w:rFonts w:ascii="Times New Roman" w:hAnsi="Times New Roman"/>
          <w:sz w:val="24"/>
          <w:szCs w:val="24"/>
        </w:rPr>
        <w:t xml:space="preserve"> Equitable and Inclusive Environment</w:t>
      </w:r>
    </w:p>
    <w:p w14:paraId="01908E33" w14:textId="530591D9" w:rsidR="0082085C" w:rsidRPr="00B328BD" w:rsidRDefault="0082085C" w:rsidP="0082085C">
      <w:pPr>
        <w:rPr>
          <w:bCs/>
        </w:rPr>
      </w:pPr>
      <w:r w:rsidRPr="00B328BD">
        <w:rPr>
          <w:bCs/>
        </w:rPr>
        <w:t xml:space="preserve">Describe </w:t>
      </w:r>
      <w:r w:rsidR="00C77C1E" w:rsidRPr="00B328BD">
        <w:rPr>
          <w:bCs/>
        </w:rPr>
        <w:t xml:space="preserve">how faculty demonstrate </w:t>
      </w:r>
      <w:r w:rsidR="003000A2">
        <w:rPr>
          <w:bCs/>
        </w:rPr>
        <w:t xml:space="preserve">awareness </w:t>
      </w:r>
      <w:r w:rsidR="002A0C6E" w:rsidRPr="00B328BD">
        <w:rPr>
          <w:bCs/>
        </w:rPr>
        <w:t>appropriate to</w:t>
      </w:r>
      <w:r w:rsidR="00AE4D0E" w:rsidRPr="00B328BD">
        <w:rPr>
          <w:bCs/>
        </w:rPr>
        <w:t xml:space="preserve"> provid</w:t>
      </w:r>
      <w:r w:rsidR="002A0C6E" w:rsidRPr="00B328BD">
        <w:rPr>
          <w:bCs/>
        </w:rPr>
        <w:t>e</w:t>
      </w:r>
      <w:r w:rsidR="00C77C1E" w:rsidRPr="00B328BD">
        <w:rPr>
          <w:bCs/>
        </w:rPr>
        <w:t xml:space="preserve"> an equitable and inclusive environment for its students that respects the institution’s mission.</w:t>
      </w:r>
    </w:p>
    <w:p w14:paraId="1D2F5E5C" w14:textId="77777777" w:rsidR="0082085C" w:rsidRPr="00B328BD" w:rsidRDefault="0082085C" w:rsidP="0082085C">
      <w:pPr>
        <w:rPr>
          <w:color w:val="auto"/>
        </w:rPr>
      </w:pPr>
    </w:p>
    <w:p w14:paraId="034FC49F" w14:textId="4703E1EF" w:rsidR="0082085C" w:rsidRPr="00B328BD" w:rsidRDefault="0082085C" w:rsidP="0082085C">
      <w:pPr>
        <w:rPr>
          <w:color w:val="auto"/>
        </w:rPr>
      </w:pPr>
    </w:p>
    <w:p w14:paraId="1F77CB4D" w14:textId="77777777" w:rsidR="0082085C" w:rsidRPr="00B328BD" w:rsidRDefault="0082085C" w:rsidP="0082085C">
      <w:pPr>
        <w:rPr>
          <w:color w:val="auto"/>
        </w:rPr>
      </w:pPr>
    </w:p>
    <w:p w14:paraId="551103C6" w14:textId="77777777" w:rsidR="0082085C" w:rsidRDefault="0082085C">
      <w:pPr>
        <w:rPr>
          <w:bCs/>
        </w:rPr>
      </w:pPr>
      <w:r>
        <w:rPr>
          <w:bCs/>
        </w:rPr>
        <w:br w:type="page"/>
      </w:r>
    </w:p>
    <w:p w14:paraId="4B33B350" w14:textId="3D8FEA01" w:rsidR="00686BC8" w:rsidRPr="00583970" w:rsidRDefault="002B6730" w:rsidP="00C77C1E">
      <w:pPr>
        <w:pStyle w:val="Heading1"/>
        <w:rPr>
          <w:rFonts w:ascii="Georgia" w:hAnsi="Georgia"/>
          <w:u w:val="single"/>
        </w:rPr>
      </w:pPr>
      <w:r w:rsidRPr="00583970">
        <w:lastRenderedPageBreak/>
        <w:t>SUBMISSION ATTESTING TO COMPLIANCE</w:t>
      </w:r>
      <w:bookmarkEnd w:id="14"/>
    </w:p>
    <w:p w14:paraId="1972EE63" w14:textId="23FD9CA0" w:rsidR="00686BC8" w:rsidRDefault="00686BC8">
      <w:pPr>
        <w:rPr>
          <w:rFonts w:ascii="Georgia" w:hAnsi="Georgia"/>
        </w:rPr>
      </w:pPr>
    </w:p>
    <w:p w14:paraId="2F01C5BF" w14:textId="77777777" w:rsidR="002B6730" w:rsidRPr="009559BC" w:rsidRDefault="002B6730" w:rsidP="002B6730">
      <w:pPr>
        <w:jc w:val="both"/>
      </w:pPr>
      <w:r>
        <w:t>Only the Dean or the Dean’s Delegate can electronically submit the Self-Study Report.</w:t>
      </w:r>
    </w:p>
    <w:p w14:paraId="720BED27" w14:textId="77777777" w:rsidR="002B6730" w:rsidRPr="009559BC" w:rsidRDefault="002B6730" w:rsidP="002B6730">
      <w:pPr>
        <w:jc w:val="both"/>
      </w:pPr>
    </w:p>
    <w:p w14:paraId="4E95D6EC" w14:textId="76C8FEE6" w:rsidR="002B6730" w:rsidRPr="009559BC" w:rsidRDefault="002B6730" w:rsidP="002B6730">
      <w:pPr>
        <w:jc w:val="both"/>
      </w:pPr>
      <w:r>
        <w:t xml:space="preserve">ABET considers the on-line submission as equivalent to that of an electronic signature of compliance attesting to the fact that the program </w:t>
      </w:r>
      <w:r w:rsidRPr="009559BC">
        <w:t xml:space="preserve">has conducted an honest assessment of compliance and has provided a complete and accurate disclosure of timely information regarding compliance with ABET’s </w:t>
      </w:r>
      <w:r w:rsidRPr="009559BC">
        <w:rPr>
          <w:i/>
        </w:rPr>
        <w:t xml:space="preserve">Criteria for Accrediting </w:t>
      </w:r>
      <w:r w:rsidR="0004390B">
        <w:rPr>
          <w:i/>
        </w:rPr>
        <w:t xml:space="preserve">Engineering </w:t>
      </w:r>
      <w:r w:rsidRPr="009559BC">
        <w:rPr>
          <w:i/>
        </w:rPr>
        <w:t>Programs</w:t>
      </w:r>
      <w:r w:rsidRPr="009559BC">
        <w:t xml:space="preserve"> to include the General Criteria and any applicable Program Criteria, and the ABET </w:t>
      </w:r>
      <w:r w:rsidRPr="009559BC">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64B1" w14:textId="77777777" w:rsidR="00014022" w:rsidRDefault="00014022">
      <w:r>
        <w:separator/>
      </w:r>
    </w:p>
  </w:endnote>
  <w:endnote w:type="continuationSeparator" w:id="0">
    <w:p w14:paraId="1C3E8C45" w14:textId="77777777" w:rsidR="00014022" w:rsidRDefault="0001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gyptienne F LT Std">
    <w:panose1 w:val="02040603040506030204"/>
    <w:charset w:val="00"/>
    <w:family w:val="roman"/>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7937BFF0" w:rsidR="00417DF5" w:rsidRPr="00DD3067" w:rsidRDefault="00DD3067" w:rsidP="00DD3067">
    <w:pPr>
      <w:pStyle w:val="Footer"/>
      <w:jc w:val="right"/>
    </w:pPr>
    <w:r>
      <w:t>E007 202</w:t>
    </w:r>
    <w:r w:rsidR="006D72D3">
      <w:t>4</w:t>
    </w:r>
    <w:r>
      <w:t>-202</w:t>
    </w:r>
    <w:r w:rsidR="006D72D3">
      <w:t>5</w:t>
    </w:r>
    <w:r>
      <w:t xml:space="preserve"> EAC Pilot Criteria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417DF5" w:rsidRDefault="00417DF5">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417DF5" w:rsidRDefault="0041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EB49" w14:textId="5B00F48C" w:rsidR="00417DF5" w:rsidRDefault="00417DF5" w:rsidP="00981F11">
    <w:pPr>
      <w:pStyle w:val="Footer"/>
      <w:jc w:val="right"/>
    </w:pPr>
    <w:r>
      <w:t>E002 2020-2021 Self-Study Questionnaire</w:t>
    </w:r>
  </w:p>
  <w:p w14:paraId="3F98D487" w14:textId="77777777" w:rsidR="00417DF5" w:rsidRDefault="0041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417DF5" w:rsidRDefault="00417DF5">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6163D79A" w:rsidR="00417DF5" w:rsidRPr="007D02B5" w:rsidRDefault="00417DF5" w:rsidP="00981F11">
    <w:pPr>
      <w:pStyle w:val="Footer"/>
      <w:jc w:val="right"/>
    </w:pPr>
    <w:r>
      <w:t>E00</w:t>
    </w:r>
    <w:r w:rsidR="006E29E3">
      <w:t>7</w:t>
    </w:r>
    <w:r>
      <w:t xml:space="preserve"> 202</w:t>
    </w:r>
    <w:r w:rsidR="00A46401">
      <w:t>3</w:t>
    </w:r>
    <w:r>
      <w:t>-202</w:t>
    </w:r>
    <w:r w:rsidR="00A46401">
      <w:t>4</w:t>
    </w:r>
    <w:r>
      <w:t xml:space="preserve"> </w:t>
    </w:r>
    <w:r w:rsidR="006E29E3">
      <w:t>EAC Pilot Criteria Template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417DF5" w:rsidRDefault="00417DF5">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417DF5" w:rsidRDefault="00417DF5"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417DF5" w:rsidRDefault="00417DF5">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7E337DBD" w:rsidR="00417DF5" w:rsidRDefault="00DD3067" w:rsidP="00DD3067">
    <w:pPr>
      <w:pStyle w:val="Footer"/>
      <w:jc w:val="right"/>
    </w:pPr>
    <w:r>
      <w:t>E007 202</w:t>
    </w:r>
    <w:r w:rsidR="00095499">
      <w:t>4</w:t>
    </w:r>
    <w:r>
      <w:t>-202</w:t>
    </w:r>
    <w:r w:rsidR="00095499">
      <w:t>5</w:t>
    </w:r>
    <w:r>
      <w:t xml:space="preserve"> EAC Pilot Criteria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72C1" w14:textId="77777777" w:rsidR="00014022" w:rsidRDefault="00014022">
      <w:r>
        <w:separator/>
      </w:r>
    </w:p>
  </w:footnote>
  <w:footnote w:type="continuationSeparator" w:id="0">
    <w:p w14:paraId="34D6381A" w14:textId="77777777" w:rsidR="00014022" w:rsidRDefault="0001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417DF5" w:rsidRDefault="0041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417DF5" w:rsidRDefault="0041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417DF5" w:rsidRDefault="00417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2280" w:hanging="360"/>
      </w:pPr>
      <w:rPr>
        <w:rFonts w:ascii="Calibri" w:hAnsi="Calibri" w:cs="Calibri"/>
        <w:b w:val="0"/>
        <w:bCs w:val="0"/>
        <w:sz w:val="24"/>
        <w:szCs w:val="24"/>
      </w:rPr>
    </w:lvl>
    <w:lvl w:ilvl="1">
      <w:numFmt w:val="bullet"/>
      <w:lvlText w:val="•"/>
      <w:lvlJc w:val="left"/>
      <w:pPr>
        <w:ind w:left="3082" w:hanging="360"/>
      </w:pPr>
    </w:lvl>
    <w:lvl w:ilvl="2">
      <w:numFmt w:val="bullet"/>
      <w:lvlText w:val="•"/>
      <w:lvlJc w:val="left"/>
      <w:pPr>
        <w:ind w:left="3884" w:hanging="360"/>
      </w:pPr>
    </w:lvl>
    <w:lvl w:ilvl="3">
      <w:numFmt w:val="bullet"/>
      <w:lvlText w:val="•"/>
      <w:lvlJc w:val="left"/>
      <w:pPr>
        <w:ind w:left="4686" w:hanging="360"/>
      </w:pPr>
    </w:lvl>
    <w:lvl w:ilvl="4">
      <w:numFmt w:val="bullet"/>
      <w:lvlText w:val="•"/>
      <w:lvlJc w:val="left"/>
      <w:pPr>
        <w:ind w:left="5488" w:hanging="360"/>
      </w:pPr>
    </w:lvl>
    <w:lvl w:ilvl="5">
      <w:numFmt w:val="bullet"/>
      <w:lvlText w:val="•"/>
      <w:lvlJc w:val="left"/>
      <w:pPr>
        <w:ind w:left="6290" w:hanging="360"/>
      </w:pPr>
    </w:lvl>
    <w:lvl w:ilvl="6">
      <w:numFmt w:val="bullet"/>
      <w:lvlText w:val="•"/>
      <w:lvlJc w:val="left"/>
      <w:pPr>
        <w:ind w:left="7092" w:hanging="360"/>
      </w:pPr>
    </w:lvl>
    <w:lvl w:ilvl="7">
      <w:numFmt w:val="bullet"/>
      <w:lvlText w:val="•"/>
      <w:lvlJc w:val="left"/>
      <w:pPr>
        <w:ind w:left="7894" w:hanging="360"/>
      </w:pPr>
    </w:lvl>
    <w:lvl w:ilvl="8">
      <w:numFmt w:val="bullet"/>
      <w:lvlText w:val="•"/>
      <w:lvlJc w:val="left"/>
      <w:pPr>
        <w:ind w:left="8696" w:hanging="36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A99711"/>
    <w:multiLevelType w:val="multilevel"/>
    <w:tmpl w:val="2200E4DC"/>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3"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7F16304"/>
    <w:multiLevelType w:val="hybridMultilevel"/>
    <w:tmpl w:val="5EECE9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819B2"/>
    <w:multiLevelType w:val="hybridMultilevel"/>
    <w:tmpl w:val="93826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46916"/>
    <w:multiLevelType w:val="hybridMultilevel"/>
    <w:tmpl w:val="5EECE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237316">
    <w:abstractNumId w:val="23"/>
  </w:num>
  <w:num w:numId="2" w16cid:durableId="596326697">
    <w:abstractNumId w:val="15"/>
  </w:num>
  <w:num w:numId="3" w16cid:durableId="303581197">
    <w:abstractNumId w:val="3"/>
  </w:num>
  <w:num w:numId="4" w16cid:durableId="1187865766">
    <w:abstractNumId w:val="19"/>
  </w:num>
  <w:num w:numId="5" w16cid:durableId="794105845">
    <w:abstractNumId w:val="25"/>
  </w:num>
  <w:num w:numId="6" w16cid:durableId="475148263">
    <w:abstractNumId w:val="9"/>
  </w:num>
  <w:num w:numId="7" w16cid:durableId="2032414956">
    <w:abstractNumId w:val="16"/>
  </w:num>
  <w:num w:numId="8" w16cid:durableId="1993363216">
    <w:abstractNumId w:val="22"/>
  </w:num>
  <w:num w:numId="9" w16cid:durableId="1251738338">
    <w:abstractNumId w:val="14"/>
  </w:num>
  <w:num w:numId="10" w16cid:durableId="117913493">
    <w:abstractNumId w:val="18"/>
  </w:num>
  <w:num w:numId="11" w16cid:durableId="1745109473">
    <w:abstractNumId w:val="13"/>
  </w:num>
  <w:num w:numId="12" w16cid:durableId="167713412">
    <w:abstractNumId w:val="4"/>
  </w:num>
  <w:num w:numId="13" w16cid:durableId="1457329329">
    <w:abstractNumId w:val="17"/>
  </w:num>
  <w:num w:numId="14" w16cid:durableId="478695801">
    <w:abstractNumId w:val="21"/>
  </w:num>
  <w:num w:numId="15" w16cid:durableId="680206394">
    <w:abstractNumId w:val="7"/>
  </w:num>
  <w:num w:numId="16" w16cid:durableId="770121889">
    <w:abstractNumId w:val="10"/>
  </w:num>
  <w:num w:numId="17" w16cid:durableId="10644307">
    <w:abstractNumId w:val="20"/>
  </w:num>
  <w:num w:numId="18" w16cid:durableId="1498694542">
    <w:abstractNumId w:val="26"/>
  </w:num>
  <w:num w:numId="19" w16cid:durableId="17040926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69584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8361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7824357">
    <w:abstractNumId w:val="1"/>
  </w:num>
  <w:num w:numId="23" w16cid:durableId="183981433">
    <w:abstractNumId w:val="0"/>
  </w:num>
  <w:num w:numId="24" w16cid:durableId="670252851">
    <w:abstractNumId w:val="12"/>
  </w:num>
  <w:num w:numId="25" w16cid:durableId="1717972350">
    <w:abstractNumId w:val="6"/>
  </w:num>
  <w:num w:numId="26" w16cid:durableId="1844516990">
    <w:abstractNumId w:val="11"/>
  </w:num>
  <w:num w:numId="27" w16cid:durableId="532619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14022"/>
    <w:rsid w:val="000223F6"/>
    <w:rsid w:val="000262F8"/>
    <w:rsid w:val="00027046"/>
    <w:rsid w:val="00030C7A"/>
    <w:rsid w:val="00031205"/>
    <w:rsid w:val="00032AF2"/>
    <w:rsid w:val="0004390B"/>
    <w:rsid w:val="00060372"/>
    <w:rsid w:val="00062404"/>
    <w:rsid w:val="000660FD"/>
    <w:rsid w:val="000720FA"/>
    <w:rsid w:val="00073269"/>
    <w:rsid w:val="000772BD"/>
    <w:rsid w:val="00081B6A"/>
    <w:rsid w:val="00083407"/>
    <w:rsid w:val="00084CC2"/>
    <w:rsid w:val="00086DA3"/>
    <w:rsid w:val="0008779D"/>
    <w:rsid w:val="00094DB6"/>
    <w:rsid w:val="00095499"/>
    <w:rsid w:val="00095896"/>
    <w:rsid w:val="00095C1A"/>
    <w:rsid w:val="000A19B5"/>
    <w:rsid w:val="000A626B"/>
    <w:rsid w:val="000B39CA"/>
    <w:rsid w:val="000B438D"/>
    <w:rsid w:val="000B5566"/>
    <w:rsid w:val="000B6690"/>
    <w:rsid w:val="000B67A7"/>
    <w:rsid w:val="000C5541"/>
    <w:rsid w:val="000C6B13"/>
    <w:rsid w:val="000D34B2"/>
    <w:rsid w:val="000D6275"/>
    <w:rsid w:val="000D6737"/>
    <w:rsid w:val="000E0108"/>
    <w:rsid w:val="000E36E1"/>
    <w:rsid w:val="000E5606"/>
    <w:rsid w:val="000F5E4C"/>
    <w:rsid w:val="00125479"/>
    <w:rsid w:val="00125E69"/>
    <w:rsid w:val="00131723"/>
    <w:rsid w:val="00135778"/>
    <w:rsid w:val="001417EE"/>
    <w:rsid w:val="001423CB"/>
    <w:rsid w:val="00144CB8"/>
    <w:rsid w:val="00144D78"/>
    <w:rsid w:val="001509FB"/>
    <w:rsid w:val="001565A0"/>
    <w:rsid w:val="00157DD1"/>
    <w:rsid w:val="001642EC"/>
    <w:rsid w:val="00167892"/>
    <w:rsid w:val="0017401B"/>
    <w:rsid w:val="00176517"/>
    <w:rsid w:val="00183DBE"/>
    <w:rsid w:val="001909B7"/>
    <w:rsid w:val="00190BAC"/>
    <w:rsid w:val="00195936"/>
    <w:rsid w:val="001A26BD"/>
    <w:rsid w:val="001A56E6"/>
    <w:rsid w:val="001B568D"/>
    <w:rsid w:val="001B6DB2"/>
    <w:rsid w:val="001C2B3E"/>
    <w:rsid w:val="001D3F4B"/>
    <w:rsid w:val="001D6E90"/>
    <w:rsid w:val="001F0B8D"/>
    <w:rsid w:val="001F3DDF"/>
    <w:rsid w:val="001F5676"/>
    <w:rsid w:val="00205310"/>
    <w:rsid w:val="00211B09"/>
    <w:rsid w:val="002134F8"/>
    <w:rsid w:val="00213C96"/>
    <w:rsid w:val="00214CAE"/>
    <w:rsid w:val="002209FC"/>
    <w:rsid w:val="0022187C"/>
    <w:rsid w:val="00241CC9"/>
    <w:rsid w:val="00243C56"/>
    <w:rsid w:val="0024642B"/>
    <w:rsid w:val="00250F0E"/>
    <w:rsid w:val="00254413"/>
    <w:rsid w:val="002546B5"/>
    <w:rsid w:val="002622FE"/>
    <w:rsid w:val="002658D4"/>
    <w:rsid w:val="00266F51"/>
    <w:rsid w:val="0027445E"/>
    <w:rsid w:val="00280191"/>
    <w:rsid w:val="002A0C6E"/>
    <w:rsid w:val="002A54CE"/>
    <w:rsid w:val="002A5BDB"/>
    <w:rsid w:val="002A6F1B"/>
    <w:rsid w:val="002B6730"/>
    <w:rsid w:val="002C11D6"/>
    <w:rsid w:val="002C173B"/>
    <w:rsid w:val="002C63EC"/>
    <w:rsid w:val="002D0F71"/>
    <w:rsid w:val="002D2F02"/>
    <w:rsid w:val="002D3938"/>
    <w:rsid w:val="002D4BA5"/>
    <w:rsid w:val="002D7F68"/>
    <w:rsid w:val="002E011A"/>
    <w:rsid w:val="002E03C2"/>
    <w:rsid w:val="002E3394"/>
    <w:rsid w:val="002E4ED5"/>
    <w:rsid w:val="002E6B90"/>
    <w:rsid w:val="002E6EEB"/>
    <w:rsid w:val="002F1942"/>
    <w:rsid w:val="002F5F94"/>
    <w:rsid w:val="003000A2"/>
    <w:rsid w:val="003133E9"/>
    <w:rsid w:val="00324853"/>
    <w:rsid w:val="00326E0E"/>
    <w:rsid w:val="00330DA2"/>
    <w:rsid w:val="00331563"/>
    <w:rsid w:val="00333532"/>
    <w:rsid w:val="003373CA"/>
    <w:rsid w:val="00344FB8"/>
    <w:rsid w:val="003467E3"/>
    <w:rsid w:val="00352118"/>
    <w:rsid w:val="003576CC"/>
    <w:rsid w:val="003608A1"/>
    <w:rsid w:val="00360EE0"/>
    <w:rsid w:val="003730DB"/>
    <w:rsid w:val="003736F8"/>
    <w:rsid w:val="00376129"/>
    <w:rsid w:val="0038123D"/>
    <w:rsid w:val="003824D4"/>
    <w:rsid w:val="00383459"/>
    <w:rsid w:val="00386424"/>
    <w:rsid w:val="00386CEB"/>
    <w:rsid w:val="0039054F"/>
    <w:rsid w:val="0039223E"/>
    <w:rsid w:val="00393301"/>
    <w:rsid w:val="003A2147"/>
    <w:rsid w:val="003A34CA"/>
    <w:rsid w:val="003B0E73"/>
    <w:rsid w:val="003B60BC"/>
    <w:rsid w:val="003C27D0"/>
    <w:rsid w:val="003C42A8"/>
    <w:rsid w:val="003C5EA1"/>
    <w:rsid w:val="003C66F2"/>
    <w:rsid w:val="003C688F"/>
    <w:rsid w:val="003D1860"/>
    <w:rsid w:val="003D3E5D"/>
    <w:rsid w:val="003D6392"/>
    <w:rsid w:val="003D640D"/>
    <w:rsid w:val="003E074B"/>
    <w:rsid w:val="003E0DAA"/>
    <w:rsid w:val="003E6738"/>
    <w:rsid w:val="003F6051"/>
    <w:rsid w:val="00414D28"/>
    <w:rsid w:val="00415544"/>
    <w:rsid w:val="00417DF5"/>
    <w:rsid w:val="00424D40"/>
    <w:rsid w:val="0043045E"/>
    <w:rsid w:val="00430D75"/>
    <w:rsid w:val="004414A9"/>
    <w:rsid w:val="00444245"/>
    <w:rsid w:val="004469EA"/>
    <w:rsid w:val="004566A2"/>
    <w:rsid w:val="00457F92"/>
    <w:rsid w:val="00460641"/>
    <w:rsid w:val="00463BC8"/>
    <w:rsid w:val="00464E4C"/>
    <w:rsid w:val="004664E0"/>
    <w:rsid w:val="00467815"/>
    <w:rsid w:val="00480875"/>
    <w:rsid w:val="004810F2"/>
    <w:rsid w:val="00491B6C"/>
    <w:rsid w:val="00494074"/>
    <w:rsid w:val="00496405"/>
    <w:rsid w:val="004A1F37"/>
    <w:rsid w:val="004B1047"/>
    <w:rsid w:val="004B26B3"/>
    <w:rsid w:val="004B345D"/>
    <w:rsid w:val="004B42D7"/>
    <w:rsid w:val="004C7E89"/>
    <w:rsid w:val="004D3208"/>
    <w:rsid w:val="004E11E4"/>
    <w:rsid w:val="004E3F18"/>
    <w:rsid w:val="00500754"/>
    <w:rsid w:val="00501E45"/>
    <w:rsid w:val="00510C4A"/>
    <w:rsid w:val="00517862"/>
    <w:rsid w:val="00524446"/>
    <w:rsid w:val="005267D9"/>
    <w:rsid w:val="005268AB"/>
    <w:rsid w:val="00534A98"/>
    <w:rsid w:val="005424E5"/>
    <w:rsid w:val="005511CB"/>
    <w:rsid w:val="00551DE7"/>
    <w:rsid w:val="00581851"/>
    <w:rsid w:val="00583970"/>
    <w:rsid w:val="005911C2"/>
    <w:rsid w:val="005975AB"/>
    <w:rsid w:val="00597D30"/>
    <w:rsid w:val="005A06F7"/>
    <w:rsid w:val="005A2C25"/>
    <w:rsid w:val="005B7F01"/>
    <w:rsid w:val="005C0A82"/>
    <w:rsid w:val="005C12EE"/>
    <w:rsid w:val="005C6A1B"/>
    <w:rsid w:val="005D2445"/>
    <w:rsid w:val="005D6930"/>
    <w:rsid w:val="005E0096"/>
    <w:rsid w:val="005E16C3"/>
    <w:rsid w:val="005E67A2"/>
    <w:rsid w:val="006007BC"/>
    <w:rsid w:val="006008F6"/>
    <w:rsid w:val="00602D90"/>
    <w:rsid w:val="006054E2"/>
    <w:rsid w:val="00605DF4"/>
    <w:rsid w:val="006103C0"/>
    <w:rsid w:val="00614B80"/>
    <w:rsid w:val="00621BF0"/>
    <w:rsid w:val="006255C1"/>
    <w:rsid w:val="00627A79"/>
    <w:rsid w:val="0063570C"/>
    <w:rsid w:val="00635C4B"/>
    <w:rsid w:val="00644E99"/>
    <w:rsid w:val="00647CBA"/>
    <w:rsid w:val="00651F95"/>
    <w:rsid w:val="006549ED"/>
    <w:rsid w:val="00663707"/>
    <w:rsid w:val="00663BB2"/>
    <w:rsid w:val="0067594C"/>
    <w:rsid w:val="00675A38"/>
    <w:rsid w:val="00686BC8"/>
    <w:rsid w:val="006944FA"/>
    <w:rsid w:val="006979A3"/>
    <w:rsid w:val="006A64ED"/>
    <w:rsid w:val="006A6717"/>
    <w:rsid w:val="006B4691"/>
    <w:rsid w:val="006C24E8"/>
    <w:rsid w:val="006D1195"/>
    <w:rsid w:val="006D1583"/>
    <w:rsid w:val="006D4ECC"/>
    <w:rsid w:val="006D72D3"/>
    <w:rsid w:val="006E29E3"/>
    <w:rsid w:val="006E65FC"/>
    <w:rsid w:val="006F1A2C"/>
    <w:rsid w:val="006F43BA"/>
    <w:rsid w:val="006F4D9F"/>
    <w:rsid w:val="006F60A9"/>
    <w:rsid w:val="00705290"/>
    <w:rsid w:val="00714896"/>
    <w:rsid w:val="007213ED"/>
    <w:rsid w:val="00722F3A"/>
    <w:rsid w:val="007303BE"/>
    <w:rsid w:val="0073071C"/>
    <w:rsid w:val="00731195"/>
    <w:rsid w:val="007329C7"/>
    <w:rsid w:val="007344AA"/>
    <w:rsid w:val="00750518"/>
    <w:rsid w:val="0075205E"/>
    <w:rsid w:val="007750B3"/>
    <w:rsid w:val="00775C2C"/>
    <w:rsid w:val="0078324E"/>
    <w:rsid w:val="0078635F"/>
    <w:rsid w:val="00791BB1"/>
    <w:rsid w:val="00793E61"/>
    <w:rsid w:val="007A31E4"/>
    <w:rsid w:val="007A7771"/>
    <w:rsid w:val="007A7F4D"/>
    <w:rsid w:val="007B39F0"/>
    <w:rsid w:val="007B3BDB"/>
    <w:rsid w:val="007B6491"/>
    <w:rsid w:val="007C3C6A"/>
    <w:rsid w:val="007D1134"/>
    <w:rsid w:val="007D2A34"/>
    <w:rsid w:val="007D381F"/>
    <w:rsid w:val="007E1416"/>
    <w:rsid w:val="007E57E7"/>
    <w:rsid w:val="007E6149"/>
    <w:rsid w:val="007F1127"/>
    <w:rsid w:val="007F2009"/>
    <w:rsid w:val="007F56C7"/>
    <w:rsid w:val="007F7E2A"/>
    <w:rsid w:val="008033EC"/>
    <w:rsid w:val="008042BC"/>
    <w:rsid w:val="008068ED"/>
    <w:rsid w:val="00811017"/>
    <w:rsid w:val="0082085C"/>
    <w:rsid w:val="00820DBD"/>
    <w:rsid w:val="00822AC9"/>
    <w:rsid w:val="00827E12"/>
    <w:rsid w:val="00860FF0"/>
    <w:rsid w:val="0086158D"/>
    <w:rsid w:val="0086259E"/>
    <w:rsid w:val="0086371B"/>
    <w:rsid w:val="008756F8"/>
    <w:rsid w:val="00891E45"/>
    <w:rsid w:val="00897B09"/>
    <w:rsid w:val="008A1A2F"/>
    <w:rsid w:val="008A1A48"/>
    <w:rsid w:val="008A7E00"/>
    <w:rsid w:val="008C3F51"/>
    <w:rsid w:val="008C7E72"/>
    <w:rsid w:val="008E30AB"/>
    <w:rsid w:val="008E607B"/>
    <w:rsid w:val="008F0F1D"/>
    <w:rsid w:val="008F1EFE"/>
    <w:rsid w:val="008F47CD"/>
    <w:rsid w:val="00902CB2"/>
    <w:rsid w:val="00911E13"/>
    <w:rsid w:val="009261BC"/>
    <w:rsid w:val="00926D0D"/>
    <w:rsid w:val="00926F69"/>
    <w:rsid w:val="00930D1C"/>
    <w:rsid w:val="00937754"/>
    <w:rsid w:val="00942487"/>
    <w:rsid w:val="0094445A"/>
    <w:rsid w:val="00946B2D"/>
    <w:rsid w:val="0095729A"/>
    <w:rsid w:val="009610EC"/>
    <w:rsid w:val="00963DE4"/>
    <w:rsid w:val="00971909"/>
    <w:rsid w:val="00977188"/>
    <w:rsid w:val="00981F11"/>
    <w:rsid w:val="00986843"/>
    <w:rsid w:val="00994359"/>
    <w:rsid w:val="00996B74"/>
    <w:rsid w:val="009A188E"/>
    <w:rsid w:val="009A5FF8"/>
    <w:rsid w:val="009B1A25"/>
    <w:rsid w:val="009C5FA8"/>
    <w:rsid w:val="009D2587"/>
    <w:rsid w:val="009D3F2A"/>
    <w:rsid w:val="009E149E"/>
    <w:rsid w:val="009F2055"/>
    <w:rsid w:val="009F28B2"/>
    <w:rsid w:val="009F2B57"/>
    <w:rsid w:val="009F5736"/>
    <w:rsid w:val="009F5D7E"/>
    <w:rsid w:val="009F65A2"/>
    <w:rsid w:val="009F7F16"/>
    <w:rsid w:val="00A00DED"/>
    <w:rsid w:val="00A03E8A"/>
    <w:rsid w:val="00A040A3"/>
    <w:rsid w:val="00A0427A"/>
    <w:rsid w:val="00A045C5"/>
    <w:rsid w:val="00A10D6F"/>
    <w:rsid w:val="00A15D73"/>
    <w:rsid w:val="00A17CA9"/>
    <w:rsid w:val="00A22223"/>
    <w:rsid w:val="00A26B68"/>
    <w:rsid w:val="00A30687"/>
    <w:rsid w:val="00A34665"/>
    <w:rsid w:val="00A3794D"/>
    <w:rsid w:val="00A4286F"/>
    <w:rsid w:val="00A46401"/>
    <w:rsid w:val="00A51D85"/>
    <w:rsid w:val="00A51DD3"/>
    <w:rsid w:val="00A533DF"/>
    <w:rsid w:val="00A568D8"/>
    <w:rsid w:val="00A8094B"/>
    <w:rsid w:val="00A901B3"/>
    <w:rsid w:val="00AA2613"/>
    <w:rsid w:val="00AA31A4"/>
    <w:rsid w:val="00AA79A9"/>
    <w:rsid w:val="00AB3580"/>
    <w:rsid w:val="00AE0E6E"/>
    <w:rsid w:val="00AE4D0E"/>
    <w:rsid w:val="00AF2DC5"/>
    <w:rsid w:val="00AF78AB"/>
    <w:rsid w:val="00B1464D"/>
    <w:rsid w:val="00B178CC"/>
    <w:rsid w:val="00B20651"/>
    <w:rsid w:val="00B252AF"/>
    <w:rsid w:val="00B26572"/>
    <w:rsid w:val="00B313B8"/>
    <w:rsid w:val="00B314B2"/>
    <w:rsid w:val="00B328BD"/>
    <w:rsid w:val="00B35CBB"/>
    <w:rsid w:val="00B60566"/>
    <w:rsid w:val="00B60DD6"/>
    <w:rsid w:val="00B61CF2"/>
    <w:rsid w:val="00B70464"/>
    <w:rsid w:val="00B86E6C"/>
    <w:rsid w:val="00B922C1"/>
    <w:rsid w:val="00B934FC"/>
    <w:rsid w:val="00B971AF"/>
    <w:rsid w:val="00BB044E"/>
    <w:rsid w:val="00BB2C88"/>
    <w:rsid w:val="00BB3A29"/>
    <w:rsid w:val="00BB70FC"/>
    <w:rsid w:val="00BC02B8"/>
    <w:rsid w:val="00BC0DE6"/>
    <w:rsid w:val="00BC459C"/>
    <w:rsid w:val="00BD4CD0"/>
    <w:rsid w:val="00BE34ED"/>
    <w:rsid w:val="00BE51D4"/>
    <w:rsid w:val="00BE5F9A"/>
    <w:rsid w:val="00BE69C0"/>
    <w:rsid w:val="00BF1A78"/>
    <w:rsid w:val="00BF5E17"/>
    <w:rsid w:val="00C0623C"/>
    <w:rsid w:val="00C23631"/>
    <w:rsid w:val="00C34022"/>
    <w:rsid w:val="00C43437"/>
    <w:rsid w:val="00C4365A"/>
    <w:rsid w:val="00C44FC4"/>
    <w:rsid w:val="00C458C8"/>
    <w:rsid w:val="00C47F95"/>
    <w:rsid w:val="00C50CBE"/>
    <w:rsid w:val="00C52FDD"/>
    <w:rsid w:val="00C560CE"/>
    <w:rsid w:val="00C636F2"/>
    <w:rsid w:val="00C647C3"/>
    <w:rsid w:val="00C6518C"/>
    <w:rsid w:val="00C65E91"/>
    <w:rsid w:val="00C67369"/>
    <w:rsid w:val="00C77C1E"/>
    <w:rsid w:val="00C83ACA"/>
    <w:rsid w:val="00C870EC"/>
    <w:rsid w:val="00C90A9E"/>
    <w:rsid w:val="00C950CC"/>
    <w:rsid w:val="00C95A8C"/>
    <w:rsid w:val="00CA119A"/>
    <w:rsid w:val="00CA1B19"/>
    <w:rsid w:val="00CA5C38"/>
    <w:rsid w:val="00CA67BB"/>
    <w:rsid w:val="00CB1176"/>
    <w:rsid w:val="00CB3D96"/>
    <w:rsid w:val="00CB40EA"/>
    <w:rsid w:val="00CB5247"/>
    <w:rsid w:val="00CD09BA"/>
    <w:rsid w:val="00CD1E7E"/>
    <w:rsid w:val="00CD2FA2"/>
    <w:rsid w:val="00CD6A80"/>
    <w:rsid w:val="00CD7BD1"/>
    <w:rsid w:val="00CE3756"/>
    <w:rsid w:val="00CE6F84"/>
    <w:rsid w:val="00D028B1"/>
    <w:rsid w:val="00D03686"/>
    <w:rsid w:val="00D0465F"/>
    <w:rsid w:val="00D04B47"/>
    <w:rsid w:val="00D06268"/>
    <w:rsid w:val="00D07606"/>
    <w:rsid w:val="00D07650"/>
    <w:rsid w:val="00D07BF8"/>
    <w:rsid w:val="00D12E19"/>
    <w:rsid w:val="00D26E74"/>
    <w:rsid w:val="00D31907"/>
    <w:rsid w:val="00D35064"/>
    <w:rsid w:val="00D37AF3"/>
    <w:rsid w:val="00D43838"/>
    <w:rsid w:val="00D45D90"/>
    <w:rsid w:val="00D46493"/>
    <w:rsid w:val="00D46757"/>
    <w:rsid w:val="00D46770"/>
    <w:rsid w:val="00D47C84"/>
    <w:rsid w:val="00D504D7"/>
    <w:rsid w:val="00D64134"/>
    <w:rsid w:val="00D65308"/>
    <w:rsid w:val="00D72E9F"/>
    <w:rsid w:val="00D7544C"/>
    <w:rsid w:val="00D774BD"/>
    <w:rsid w:val="00D77716"/>
    <w:rsid w:val="00D816F2"/>
    <w:rsid w:val="00D823CD"/>
    <w:rsid w:val="00D865A3"/>
    <w:rsid w:val="00D873B9"/>
    <w:rsid w:val="00D87B40"/>
    <w:rsid w:val="00DA0AF5"/>
    <w:rsid w:val="00DA37E0"/>
    <w:rsid w:val="00DB3018"/>
    <w:rsid w:val="00DC0A69"/>
    <w:rsid w:val="00DC1738"/>
    <w:rsid w:val="00DC25F9"/>
    <w:rsid w:val="00DC7083"/>
    <w:rsid w:val="00DC72E9"/>
    <w:rsid w:val="00DD3067"/>
    <w:rsid w:val="00DD5FD6"/>
    <w:rsid w:val="00DD790B"/>
    <w:rsid w:val="00DE423F"/>
    <w:rsid w:val="00E02D44"/>
    <w:rsid w:val="00E10407"/>
    <w:rsid w:val="00E1379E"/>
    <w:rsid w:val="00E1545D"/>
    <w:rsid w:val="00E22B47"/>
    <w:rsid w:val="00E307DC"/>
    <w:rsid w:val="00E30AF4"/>
    <w:rsid w:val="00E36873"/>
    <w:rsid w:val="00E43786"/>
    <w:rsid w:val="00E50014"/>
    <w:rsid w:val="00E53371"/>
    <w:rsid w:val="00E550CD"/>
    <w:rsid w:val="00E55510"/>
    <w:rsid w:val="00E55AB6"/>
    <w:rsid w:val="00E672A1"/>
    <w:rsid w:val="00E72D2C"/>
    <w:rsid w:val="00E7516E"/>
    <w:rsid w:val="00E7589A"/>
    <w:rsid w:val="00E75ED4"/>
    <w:rsid w:val="00E80E83"/>
    <w:rsid w:val="00E81FEC"/>
    <w:rsid w:val="00E83BD1"/>
    <w:rsid w:val="00E8553C"/>
    <w:rsid w:val="00E9279D"/>
    <w:rsid w:val="00E94942"/>
    <w:rsid w:val="00EA1AC8"/>
    <w:rsid w:val="00EB1A56"/>
    <w:rsid w:val="00EB511C"/>
    <w:rsid w:val="00EC4BB5"/>
    <w:rsid w:val="00EE0463"/>
    <w:rsid w:val="00EE4F06"/>
    <w:rsid w:val="00EE7D99"/>
    <w:rsid w:val="00EF0322"/>
    <w:rsid w:val="00EF2618"/>
    <w:rsid w:val="00EF41AE"/>
    <w:rsid w:val="00EF55F4"/>
    <w:rsid w:val="00F02E1D"/>
    <w:rsid w:val="00F065B8"/>
    <w:rsid w:val="00F07378"/>
    <w:rsid w:val="00F07E7F"/>
    <w:rsid w:val="00F10B9D"/>
    <w:rsid w:val="00F130ED"/>
    <w:rsid w:val="00F15547"/>
    <w:rsid w:val="00F20046"/>
    <w:rsid w:val="00F204EF"/>
    <w:rsid w:val="00F2201D"/>
    <w:rsid w:val="00F301DC"/>
    <w:rsid w:val="00F32CF9"/>
    <w:rsid w:val="00F37F2B"/>
    <w:rsid w:val="00F552EE"/>
    <w:rsid w:val="00F64A1D"/>
    <w:rsid w:val="00F67F03"/>
    <w:rsid w:val="00F74A7F"/>
    <w:rsid w:val="00F76A9B"/>
    <w:rsid w:val="00F82281"/>
    <w:rsid w:val="00F96468"/>
    <w:rsid w:val="00F97F28"/>
    <w:rsid w:val="00FA06FD"/>
    <w:rsid w:val="00FA18F8"/>
    <w:rsid w:val="00FA535E"/>
    <w:rsid w:val="00FA69EA"/>
    <w:rsid w:val="00FB06A5"/>
    <w:rsid w:val="00FB1BD5"/>
    <w:rsid w:val="00FB474B"/>
    <w:rsid w:val="00FB6A9E"/>
    <w:rsid w:val="00FC14AB"/>
    <w:rsid w:val="00FC5ABE"/>
    <w:rsid w:val="00FD16E2"/>
    <w:rsid w:val="00FD1854"/>
    <w:rsid w:val="00FD196D"/>
    <w:rsid w:val="00FD291C"/>
    <w:rsid w:val="00FD2B1C"/>
    <w:rsid w:val="00FD486C"/>
    <w:rsid w:val="00FD4984"/>
    <w:rsid w:val="00FD6074"/>
    <w:rsid w:val="00FE08AB"/>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5C"/>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customStyle="1" w:styleId="pf0">
    <w:name w:val="pf0"/>
    <w:basedOn w:val="Normal"/>
    <w:rsid w:val="00A46401"/>
    <w:pPr>
      <w:spacing w:before="100" w:beforeAutospacing="1" w:after="100" w:afterAutospacing="1"/>
    </w:pPr>
    <w:rPr>
      <w:color w:val="auto"/>
    </w:rPr>
  </w:style>
  <w:style w:type="character" w:customStyle="1" w:styleId="cf01">
    <w:name w:val="cf01"/>
    <w:basedOn w:val="DefaultParagraphFont"/>
    <w:rsid w:val="00A46401"/>
    <w:rPr>
      <w:rFonts w:ascii="Segoe UI" w:hAnsi="Segoe UI" w:cs="Segoe UI" w:hint="default"/>
      <w:b/>
      <w:bCs/>
      <w:color w:val="696867"/>
      <w:sz w:val="18"/>
      <w:szCs w:val="18"/>
    </w:rPr>
  </w:style>
  <w:style w:type="character" w:customStyle="1" w:styleId="cf21">
    <w:name w:val="cf21"/>
    <w:basedOn w:val="DefaultParagraphFont"/>
    <w:rsid w:val="00A46401"/>
    <w:rPr>
      <w:rFonts w:ascii="Segoe UI" w:hAnsi="Segoe UI" w:cs="Segoe UI" w:hint="default"/>
      <w:color w:val="595959"/>
      <w:sz w:val="18"/>
      <w:szCs w:val="18"/>
    </w:rPr>
  </w:style>
  <w:style w:type="paragraph" w:customStyle="1" w:styleId="Default">
    <w:name w:val="Default"/>
    <w:rsid w:val="00644E99"/>
    <w:pPr>
      <w:autoSpaceDE w:val="0"/>
      <w:autoSpaceDN w:val="0"/>
      <w:adjustRightInd w:val="0"/>
    </w:pPr>
    <w:rPr>
      <w:color w:val="000000"/>
      <w:sz w:val="24"/>
      <w:szCs w:val="24"/>
    </w:rPr>
  </w:style>
  <w:style w:type="paragraph" w:customStyle="1" w:styleId="FirstParagraph">
    <w:name w:val="First Paragraph"/>
    <w:basedOn w:val="BodyText"/>
    <w:next w:val="BodyText"/>
    <w:qFormat/>
    <w:rsid w:val="00614B80"/>
    <w:pPr>
      <w:spacing w:before="180" w:after="180"/>
    </w:pPr>
    <w:rPr>
      <w:rFonts w:ascii="Egyptienne F LT Std" w:eastAsiaTheme="minorHAnsi" w:hAnsi="Egyptienne F LT Std" w:cstheme="minorBidi"/>
      <w:color w:val="auto"/>
      <w:sz w:val="24"/>
      <w:szCs w:val="24"/>
    </w:rPr>
  </w:style>
  <w:style w:type="paragraph" w:customStyle="1" w:styleId="Compact">
    <w:name w:val="Compact"/>
    <w:basedOn w:val="BodyText"/>
    <w:qFormat/>
    <w:rsid w:val="00614B80"/>
    <w:pPr>
      <w:spacing w:before="36" w:after="36"/>
    </w:pPr>
    <w:rPr>
      <w:rFonts w:ascii="Egyptienne F LT Std" w:eastAsiaTheme="minorHAnsi" w:hAnsi="Egyptienne F LT Std" w:cstheme="minorBidi"/>
      <w:color w:val="auto"/>
      <w:sz w:val="24"/>
      <w:szCs w:val="24"/>
    </w:rPr>
  </w:style>
  <w:style w:type="paragraph" w:styleId="NormalWeb">
    <w:name w:val="Normal (Web)"/>
    <w:basedOn w:val="Normal"/>
    <w:uiPriority w:val="99"/>
    <w:unhideWhenUsed/>
    <w:rsid w:val="00AE4D0E"/>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481435065">
      <w:bodyDiv w:val="1"/>
      <w:marLeft w:val="0"/>
      <w:marRight w:val="0"/>
      <w:marTop w:val="0"/>
      <w:marBottom w:val="0"/>
      <w:divBdr>
        <w:top w:val="none" w:sz="0" w:space="0" w:color="auto"/>
        <w:left w:val="none" w:sz="0" w:space="0" w:color="auto"/>
        <w:bottom w:val="none" w:sz="0" w:space="0" w:color="auto"/>
        <w:right w:val="none" w:sz="0" w:space="0" w:color="auto"/>
      </w:divBdr>
    </w:div>
    <w:div w:id="73840475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5E5D-4735-4F8C-9465-3B9B0286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1549</Words>
  <Characters>9449</Characters>
  <Application>Microsoft Office Word</Application>
  <DocSecurity>0</DocSecurity>
  <Lines>185</Lines>
  <Paragraphs>97</Paragraphs>
  <ScaleCrop>false</ScaleCrop>
  <HeadingPairs>
    <vt:vector size="2" baseType="variant">
      <vt:variant>
        <vt:lpstr>Title</vt:lpstr>
      </vt:variant>
      <vt:variant>
        <vt:i4>1</vt:i4>
      </vt:variant>
    </vt:vector>
  </HeadingPairs>
  <TitlesOfParts>
    <vt:vector size="1" baseType="lpstr">
      <vt:lpstr/>
    </vt:vector>
  </TitlesOfParts>
  <Manager/>
  <Company>ABET</Company>
  <LinksUpToDate>false</LinksUpToDate>
  <CharactersWithSpaces>10901</CharactersWithSpaces>
  <SharedDoc>false</SharedDoc>
  <HyperlinkBase/>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dc:description/>
  <cp:lastModifiedBy>Tom Walker</cp:lastModifiedBy>
  <cp:revision>2</cp:revision>
  <cp:lastPrinted>2023-01-17T18:05:00Z</cp:lastPrinted>
  <dcterms:created xsi:type="dcterms:W3CDTF">2023-12-20T14:52:00Z</dcterms:created>
  <dcterms:modified xsi:type="dcterms:W3CDTF">2023-12-20T14:52:00Z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2015-05-04T10:00:00Z</vt:filetime>
  </property>
  <property fmtid="{D5CDD505-2E9C-101B-9397-08002B2CF9AE}" pid="17" name="Retention_Period_Start_Date">
    <vt:filetime>2016-07-16T10:00:00Z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