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4EF5CD7A"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20</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21</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912362">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912362">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912362">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912362">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912362">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912362"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912362">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r w:rsidR="00386CEB" w:rsidRPr="00CC361B">
        <w:rPr>
          <w:rFonts w:ascii="Times New Roman" w:hAnsi="Times New Roman"/>
        </w:rPr>
        <w:t>Masters</w:t>
      </w:r>
      <w:proofErr w:type="spell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bookmarkStart w:id="4" w:name="_GoBack"/>
      <w:bookmarkEnd w:id="4"/>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0F07F199" w14:textId="77777777" w:rsidR="00CC361B" w:rsidRPr="003F5825" w:rsidRDefault="00CC361B" w:rsidP="00CC361B">
      <w:pPr>
        <w:rPr>
          <w:rFonts w:ascii="Times New Roman" w:hAnsi="Times New Roman"/>
        </w:rPr>
      </w:pP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proofErr w:type="gramStart"/>
      <w:r w:rsidRPr="00A65786">
        <w:rPr>
          <w:rFonts w:ascii="Arial" w:hAnsi="Arial" w:cs="Arial"/>
          <w:b/>
        </w:rPr>
        <w:t>for</w:t>
      </w:r>
      <w:proofErr w:type="gramEnd"/>
      <w:r w:rsidRPr="00A65786">
        <w:rPr>
          <w:rFonts w:ascii="Arial" w:hAnsi="Arial" w:cs="Arial"/>
          <w:b/>
        </w:rPr>
        <w:t xml:space="preserve">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proofErr w:type="gramStart"/>
      <w:r w:rsidRPr="00A65786">
        <w:rPr>
          <w:rFonts w:ascii="Arial" w:hAnsi="Arial" w:cs="Arial"/>
          <w:b/>
        </w:rPr>
        <w:t>at</w:t>
      </w:r>
      <w:proofErr w:type="gramEnd"/>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proofErr w:type="gramStart"/>
      <w:r w:rsidRPr="00A65786">
        <w:rPr>
          <w:rFonts w:ascii="Arial" w:hAnsi="Arial" w:cs="Arial"/>
          <w:b/>
          <w:sz w:val="28"/>
          <w:szCs w:val="28"/>
        </w:rPr>
        <w:t>for</w:t>
      </w:r>
      <w:proofErr w:type="gramEnd"/>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68833E5E"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 xml:space="preserve">(See </w:t>
      </w:r>
      <w:r w:rsidR="00FC24A6" w:rsidRPr="00982F43">
        <w:rPr>
          <w:rFonts w:ascii="Times New Roman" w:hAnsi="Times New Roman"/>
        </w:rPr>
        <w:t>20</w:t>
      </w:r>
      <w:r w:rsidR="00FC24A6">
        <w:rPr>
          <w:rFonts w:ascii="Times New Roman" w:hAnsi="Times New Roman"/>
        </w:rPr>
        <w:t>20</w:t>
      </w:r>
      <w:r w:rsidR="004F5323">
        <w:rPr>
          <w:rFonts w:ascii="Times New Roman" w:hAnsi="Times New Roman"/>
        </w:rPr>
        <w:t>-</w:t>
      </w:r>
      <w:r w:rsidR="00FC24A6">
        <w:rPr>
          <w:rFonts w:ascii="Times New Roman" w:hAnsi="Times New Roman"/>
        </w:rPr>
        <w:t>2021</w:t>
      </w:r>
      <w:r w:rsidR="00FC24A6" w:rsidRPr="00982F43">
        <w:rPr>
          <w:rFonts w:ascii="Times New Roman" w:hAnsi="Times New Roman"/>
        </w:rPr>
        <w:t xml:space="preserve"> </w:t>
      </w:r>
      <w:r w:rsidR="00481144" w:rsidRPr="00982F43">
        <w:rPr>
          <w:rFonts w:ascii="Times New Roman" w:hAnsi="Times New Roman"/>
        </w:rPr>
        <w:t>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9DA176A"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74CF32F5"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A77FE9">
        <w:rPr>
          <w:rFonts w:ascii="Times New Roman" w:hAnsi="Times New Roman"/>
        </w:rPr>
        <w:t>2020</w:t>
      </w:r>
      <w:r w:rsidR="004F5323">
        <w:rPr>
          <w:rFonts w:ascii="Times New Roman" w:hAnsi="Times New Roman"/>
        </w:rPr>
        <w:t>-</w:t>
      </w:r>
      <w:r w:rsidR="00A77FE9">
        <w:rPr>
          <w:rFonts w:ascii="Times New Roman" w:hAnsi="Times New Roman"/>
        </w:rPr>
        <w:t>2021</w:t>
      </w:r>
      <w:r w:rsidR="00A77FE9" w:rsidRPr="00982F43">
        <w:rPr>
          <w:rFonts w:ascii="Times New Roman" w:hAnsi="Times New Roman"/>
        </w:rPr>
        <w:t xml:space="preserve"> </w:t>
      </w:r>
      <w:r w:rsidR="00481144" w:rsidRPr="00982F43">
        <w:rPr>
          <w:rFonts w:ascii="Times New Roman" w:hAnsi="Times New Roman"/>
        </w:rPr>
        <w:t>APPM Section I.E.5.b.</w:t>
      </w:r>
      <w:r w:rsidR="00982F43">
        <w:rPr>
          <w:rFonts w:ascii="Times New Roman" w:hAnsi="Times New Roman"/>
        </w:rPr>
        <w:t xml:space="preserve"> </w:t>
      </w:r>
      <w:r w:rsidR="00481144" w:rsidRPr="00982F43">
        <w:rPr>
          <w:rFonts w:ascii="Times New Roman" w:hAnsi="Times New Roman"/>
        </w:rPr>
        <w:t xml:space="preserve">(2) </w:t>
      </w:r>
      <w:proofErr w:type="gramStart"/>
      <w:r w:rsidR="00481144" w:rsidRPr="00982F43">
        <w:rPr>
          <w:rFonts w:ascii="Times New Roman" w:hAnsi="Times New Roman"/>
        </w:rPr>
        <w:t>regarding</w:t>
      </w:r>
      <w:proofErr w:type="gramEnd"/>
      <w:r w:rsidR="00481144" w:rsidRPr="00982F43">
        <w:rPr>
          <w:rFonts w:ascii="Times New Roman" w:hAnsi="Times New Roman"/>
        </w:rPr>
        <w:t xml:space="preserve">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Indicate Whether Course is Required,  Elective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roofErr w:type="spellStart"/>
            <w:r w:rsidRPr="00BD5BCD">
              <w:rPr>
                <w:rFonts w:ascii="Times New Roman" w:hAnsi="Times New Roman"/>
                <w:sz w:val="20"/>
                <w:szCs w:val="20"/>
              </w:rPr>
              <w:t>EngineeringTopics</w:t>
            </w:r>
            <w:proofErr w:type="spellEnd"/>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w:t>
      </w:r>
      <w:proofErr w:type="gramStart"/>
      <w:r w:rsidR="00926D0D" w:rsidRPr="00E03FEB">
        <w:rPr>
          <w:rFonts w:ascii="Times New Roman" w:hAnsi="Times New Roman"/>
        </w:rPr>
        <w:t>At</w:t>
      </w:r>
      <w:proofErr w:type="gramEnd"/>
      <w:r w:rsidR="00926D0D" w:rsidRPr="00E03FEB">
        <w:rPr>
          <w:rFonts w:ascii="Times New Roman" w:hAnsi="Times New Roman"/>
        </w:rPr>
        <w:t xml:space="preserve">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w:t>
            </w:r>
            <w:proofErr w:type="gramStart"/>
            <w:r w:rsidRPr="00E03FEB">
              <w:rPr>
                <w:rFonts w:ascii="Times New Roman" w:hAnsi="Times New Roman"/>
                <w:bCs/>
                <w:sz w:val="20"/>
                <w:szCs w:val="20"/>
              </w:rPr>
              <w:t>./</w:t>
            </w:r>
            <w:proofErr w:type="gramEnd"/>
            <w:r w:rsidRPr="00E03FEB">
              <w:rPr>
                <w:rFonts w:ascii="Times New Roman" w:hAnsi="Times New Roman"/>
                <w:bCs/>
                <w:sz w:val="20"/>
                <w:szCs w:val="20"/>
              </w:rPr>
              <w:t>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proofErr w:type="gramStart"/>
      <w:r w:rsidRPr="00E03FEB">
        <w:rPr>
          <w:rFonts w:ascii="Times New Roman" w:hAnsi="Times New Roman"/>
        </w:rPr>
        <w:t>the</w:t>
      </w:r>
      <w:proofErr w:type="gramEnd"/>
      <w:r w:rsidRPr="00E03FEB">
        <w:rPr>
          <w:rFonts w:ascii="Times New Roman" w:hAnsi="Times New Roman"/>
        </w:rPr>
        <w:t xml:space="preserv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8FFF97D"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786A35" w:rsidRPr="00E03FEB">
        <w:rPr>
          <w:rFonts w:ascii="Times New Roman" w:hAnsi="Times New Roman"/>
        </w:rPr>
        <w:t>20</w:t>
      </w:r>
      <w:r w:rsidR="00786A35">
        <w:rPr>
          <w:rFonts w:ascii="Times New Roman" w:hAnsi="Times New Roman"/>
        </w:rPr>
        <w:t>20</w:t>
      </w:r>
      <w:r w:rsidR="004F5323">
        <w:rPr>
          <w:rFonts w:ascii="Times New Roman" w:hAnsi="Times New Roman"/>
        </w:rPr>
        <w:t>-</w:t>
      </w:r>
      <w:r w:rsidR="00786A35">
        <w:rPr>
          <w:rFonts w:ascii="Times New Roman" w:hAnsi="Times New Roman"/>
        </w:rPr>
        <w:t>2021</w:t>
      </w:r>
      <w:r w:rsidR="00786A35" w:rsidRPr="00E03FEB">
        <w:rPr>
          <w:rFonts w:ascii="Times New Roman" w:hAnsi="Times New Roman"/>
        </w:rPr>
        <w:t xml:space="preserve"> </w:t>
      </w:r>
      <w:r w:rsidR="004A7F47" w:rsidRPr="00E03FEB">
        <w:rPr>
          <w:rFonts w:ascii="Times New Roman" w:hAnsi="Times New Roman"/>
        </w:rPr>
        <w:t>APPM section I.E.5.b</w:t>
      </w:r>
      <w:r w:rsidR="0058728D">
        <w:rPr>
          <w:rFonts w:ascii="Times New Roman" w:hAnsi="Times New Roman"/>
        </w:rPr>
        <w:t xml:space="preserve">                </w:t>
      </w:r>
      <w:r w:rsidR="004A7F47" w:rsidRPr="00E03FEB">
        <w:rPr>
          <w:rFonts w:ascii="Times New Roman" w:hAnsi="Times New Roman"/>
        </w:rPr>
        <w:t>.</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D0682D4" w:rsidR="003D1860" w:rsidRPr="00E03FEB" w:rsidRDefault="00786A3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4DD5A6B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4ED8F83A"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specific</w:t>
      </w:r>
      <w:proofErr w:type="gramEnd"/>
      <w:r w:rsidRPr="00E03FEB">
        <w:rPr>
          <w:rFonts w:ascii="Times New Roman" w:hAnsi="Times New Roman"/>
        </w:rPr>
        <w:t xml:space="preserve"> outcomes of instruction, </w:t>
      </w:r>
      <w:r w:rsidR="00786A35">
        <w:rPr>
          <w:rFonts w:ascii="Times New Roman" w:hAnsi="Times New Roman"/>
        </w:rPr>
        <w:t>for example,</w:t>
      </w:r>
      <w:r w:rsidRPr="00E03FEB">
        <w:rPr>
          <w:rFonts w:ascii="Times New Roman" w:hAnsi="Times New Roman"/>
        </w:rPr>
        <w:t xml:space="preserve"> </w:t>
      </w:r>
      <w:r w:rsidR="00786A35">
        <w:rPr>
          <w:rFonts w:ascii="Times New Roman" w:hAnsi="Times New Roman"/>
        </w:rPr>
        <w:t>“</w:t>
      </w:r>
      <w:r w:rsidRPr="00E03FEB">
        <w:rPr>
          <w:rFonts w:ascii="Times New Roman" w:hAnsi="Times New Roman"/>
        </w:rPr>
        <w:t>The student will be able to explain the significance of current research about a particular topic.</w:t>
      </w:r>
      <w:r w:rsidR="00786A3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explicitly</w:t>
      </w:r>
      <w:proofErr w:type="gramEnd"/>
      <w:r w:rsidRPr="00E03FEB">
        <w:rPr>
          <w:rFonts w:ascii="Times New Roman" w:hAnsi="Times New Roman"/>
        </w:rPr>
        <w:t xml:space="preserve">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4433B358"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85D16" w16cid:durableId="210E9762"/>
  <w16cid:commentId w16cid:paraId="22777BB8" w16cid:durableId="210E9763"/>
  <w16cid:commentId w16cid:paraId="4D7681CC" w16cid:durableId="210E9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F2EE" w14:textId="77777777" w:rsidR="00912362" w:rsidRDefault="00912362">
      <w:r>
        <w:separator/>
      </w:r>
    </w:p>
  </w:endnote>
  <w:endnote w:type="continuationSeparator" w:id="0">
    <w:p w14:paraId="0BB64C88" w14:textId="77777777" w:rsidR="00912362" w:rsidRDefault="0091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12F286B0" w:rsidR="00042BC6" w:rsidRDefault="00042BC6" w:rsidP="003C66F2">
    <w:pPr>
      <w:pStyle w:val="Footer"/>
      <w:jc w:val="right"/>
    </w:pPr>
    <w:r>
      <w:t>C002B-2020-2021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2EDB35C4" w:rsidR="00042BC6" w:rsidRDefault="00042BC6" w:rsidP="00784625">
    <w:pPr>
      <w:pStyle w:val="Footer"/>
      <w:jc w:val="right"/>
    </w:pPr>
    <w:r>
      <w:t>C002B-2020-2021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649AFD65" w:rsidR="00042BC6" w:rsidRDefault="00042BC6" w:rsidP="00502CC9">
    <w:pPr>
      <w:pStyle w:val="Footer"/>
      <w:jc w:val="right"/>
    </w:pPr>
    <w:r>
      <w:t>C002B-2020-2021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77777777" w:rsidR="00042BC6" w:rsidRDefault="00042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2924" w14:textId="77777777" w:rsidR="00912362" w:rsidRDefault="00912362">
      <w:r>
        <w:separator/>
      </w:r>
    </w:p>
  </w:footnote>
  <w:footnote w:type="continuationSeparator" w:id="0">
    <w:p w14:paraId="1A1462C3" w14:textId="77777777" w:rsidR="00912362" w:rsidRDefault="0091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7"/>
  </w:num>
  <w:num w:numId="3">
    <w:abstractNumId w:val="13"/>
  </w:num>
  <w:num w:numId="4">
    <w:abstractNumId w:val="22"/>
  </w:num>
  <w:num w:numId="5">
    <w:abstractNumId w:val="33"/>
  </w:num>
  <w:num w:numId="6">
    <w:abstractNumId w:val="17"/>
  </w:num>
  <w:num w:numId="7">
    <w:abstractNumId w:val="0"/>
  </w:num>
  <w:num w:numId="8">
    <w:abstractNumId w:val="36"/>
  </w:num>
  <w:num w:numId="9">
    <w:abstractNumId w:val="29"/>
  </w:num>
  <w:num w:numId="10">
    <w:abstractNumId w:val="38"/>
  </w:num>
  <w:num w:numId="11">
    <w:abstractNumId w:val="5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
  </w:num>
  <w:num w:numId="16">
    <w:abstractNumId w:val="54"/>
  </w:num>
  <w:num w:numId="17">
    <w:abstractNumId w:val="19"/>
  </w:num>
  <w:num w:numId="18">
    <w:abstractNumId w:val="58"/>
  </w:num>
  <w:num w:numId="19">
    <w:abstractNumId w:val="7"/>
  </w:num>
  <w:num w:numId="20">
    <w:abstractNumId w:val="57"/>
  </w:num>
  <w:num w:numId="21">
    <w:abstractNumId w:val="56"/>
  </w:num>
  <w:num w:numId="22">
    <w:abstractNumId w:val="15"/>
  </w:num>
  <w:num w:numId="23">
    <w:abstractNumId w:val="47"/>
  </w:num>
  <w:num w:numId="24">
    <w:abstractNumId w:val="10"/>
  </w:num>
  <w:num w:numId="25">
    <w:abstractNumId w:val="48"/>
  </w:num>
  <w:num w:numId="26">
    <w:abstractNumId w:val="32"/>
  </w:num>
  <w:num w:numId="27">
    <w:abstractNumId w:val="42"/>
  </w:num>
  <w:num w:numId="28">
    <w:abstractNumId w:val="30"/>
  </w:num>
  <w:num w:numId="29">
    <w:abstractNumId w:val="6"/>
  </w:num>
  <w:num w:numId="30">
    <w:abstractNumId w:val="8"/>
  </w:num>
  <w:num w:numId="31">
    <w:abstractNumId w:val="3"/>
  </w:num>
  <w:num w:numId="32">
    <w:abstractNumId w:val="41"/>
  </w:num>
  <w:num w:numId="33">
    <w:abstractNumId w:val="55"/>
  </w:num>
  <w:num w:numId="34">
    <w:abstractNumId w:val="20"/>
  </w:num>
  <w:num w:numId="35">
    <w:abstractNumId w:val="28"/>
  </w:num>
  <w:num w:numId="36">
    <w:abstractNumId w:val="53"/>
  </w:num>
  <w:num w:numId="37">
    <w:abstractNumId w:val="49"/>
  </w:num>
  <w:num w:numId="38">
    <w:abstractNumId w:val="18"/>
  </w:num>
  <w:num w:numId="39">
    <w:abstractNumId w:val="45"/>
  </w:num>
  <w:num w:numId="40">
    <w:abstractNumId w:val="59"/>
  </w:num>
  <w:num w:numId="41">
    <w:abstractNumId w:val="39"/>
  </w:num>
  <w:num w:numId="42">
    <w:abstractNumId w:val="16"/>
  </w:num>
  <w:num w:numId="43">
    <w:abstractNumId w:val="25"/>
  </w:num>
  <w:num w:numId="44">
    <w:abstractNumId w:val="24"/>
  </w:num>
  <w:num w:numId="45">
    <w:abstractNumId w:val="40"/>
  </w:num>
  <w:num w:numId="46">
    <w:abstractNumId w:val="23"/>
  </w:num>
  <w:num w:numId="47">
    <w:abstractNumId w:val="52"/>
  </w:num>
  <w:num w:numId="48">
    <w:abstractNumId w:val="37"/>
  </w:num>
  <w:num w:numId="49">
    <w:abstractNumId w:val="46"/>
  </w:num>
  <w:num w:numId="50">
    <w:abstractNumId w:val="4"/>
  </w:num>
  <w:num w:numId="51">
    <w:abstractNumId w:val="34"/>
  </w:num>
  <w:num w:numId="52">
    <w:abstractNumId w:val="11"/>
  </w:num>
  <w:num w:numId="53">
    <w:abstractNumId w:val="44"/>
  </w:num>
  <w:num w:numId="54">
    <w:abstractNumId w:val="14"/>
  </w:num>
  <w:num w:numId="55">
    <w:abstractNumId w:val="21"/>
  </w:num>
  <w:num w:numId="56">
    <w:abstractNumId w:val="43"/>
  </w:num>
  <w:num w:numId="57">
    <w:abstractNumId w:val="60"/>
  </w:num>
  <w:num w:numId="58">
    <w:abstractNumId w:val="9"/>
  </w:num>
  <w:num w:numId="59">
    <w:abstractNumId w:val="5"/>
  </w:num>
  <w:num w:numId="60">
    <w:abstractNumId w:val="26"/>
  </w:num>
  <w:num w:numId="61">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162DC"/>
    <w:rsid w:val="000262F8"/>
    <w:rsid w:val="00027046"/>
    <w:rsid w:val="00042BC6"/>
    <w:rsid w:val="00062404"/>
    <w:rsid w:val="00081B6A"/>
    <w:rsid w:val="00085FDC"/>
    <w:rsid w:val="000864BB"/>
    <w:rsid w:val="00094DB6"/>
    <w:rsid w:val="000A626B"/>
    <w:rsid w:val="000B6690"/>
    <w:rsid w:val="000B67A7"/>
    <w:rsid w:val="000C5541"/>
    <w:rsid w:val="000C559A"/>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6EEB"/>
    <w:rsid w:val="002E7221"/>
    <w:rsid w:val="003133E9"/>
    <w:rsid w:val="003213A2"/>
    <w:rsid w:val="00323A24"/>
    <w:rsid w:val="00326E0E"/>
    <w:rsid w:val="00327704"/>
    <w:rsid w:val="003375FD"/>
    <w:rsid w:val="00352118"/>
    <w:rsid w:val="00360EE0"/>
    <w:rsid w:val="003613F1"/>
    <w:rsid w:val="003730DB"/>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4E4C"/>
    <w:rsid w:val="0047091B"/>
    <w:rsid w:val="004712EA"/>
    <w:rsid w:val="004731AE"/>
    <w:rsid w:val="0047549A"/>
    <w:rsid w:val="00480875"/>
    <w:rsid w:val="00481144"/>
    <w:rsid w:val="0048326D"/>
    <w:rsid w:val="00491B6C"/>
    <w:rsid w:val="004A589A"/>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7DA2"/>
    <w:rsid w:val="0075205E"/>
    <w:rsid w:val="00760758"/>
    <w:rsid w:val="00760869"/>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93511"/>
    <w:rsid w:val="00AA6A2B"/>
    <w:rsid w:val="00AA79A9"/>
    <w:rsid w:val="00AB37BE"/>
    <w:rsid w:val="00AB6766"/>
    <w:rsid w:val="00AC695F"/>
    <w:rsid w:val="00AD7DB0"/>
    <w:rsid w:val="00AE2710"/>
    <w:rsid w:val="00AF6BE0"/>
    <w:rsid w:val="00B129BC"/>
    <w:rsid w:val="00B16F6C"/>
    <w:rsid w:val="00B252AF"/>
    <w:rsid w:val="00B52C48"/>
    <w:rsid w:val="00B60566"/>
    <w:rsid w:val="00B60DD6"/>
    <w:rsid w:val="00B7076D"/>
    <w:rsid w:val="00B85BA4"/>
    <w:rsid w:val="00B86CE3"/>
    <w:rsid w:val="00BB5AFC"/>
    <w:rsid w:val="00BC02B8"/>
    <w:rsid w:val="00BC459C"/>
    <w:rsid w:val="00BD5BCD"/>
    <w:rsid w:val="00BE14D1"/>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6E74"/>
    <w:rsid w:val="00D47C84"/>
    <w:rsid w:val="00D51634"/>
    <w:rsid w:val="00D55A85"/>
    <w:rsid w:val="00D82D2B"/>
    <w:rsid w:val="00D8489E"/>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5B1C-A71A-4127-991B-026071E0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33599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6</cp:revision>
  <cp:lastPrinted>2016-08-05T16:15:00Z</cp:lastPrinted>
  <dcterms:created xsi:type="dcterms:W3CDTF">2019-09-13T21:36:00Z</dcterms:created>
  <dcterms:modified xsi:type="dcterms:W3CDTF">2019-09-18T20:20:00Z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